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inorHAnsi" w:hAnsiTheme="minorHAnsi" w:cstheme="minorBidi"/>
          <w:color w:val="4472C4" w:themeColor="accent1"/>
          <w:sz w:val="24"/>
        </w:rPr>
        <w:id w:val="-2051836615"/>
        <w:docPartObj>
          <w:docPartGallery w:val="Cover Pages"/>
          <w:docPartUnique/>
        </w:docPartObj>
      </w:sdtPr>
      <w:sdtEndPr>
        <w:rPr>
          <w:rFonts w:ascii="Tahoma" w:hAnsi="Tahoma" w:cs="Tahoma"/>
          <w:color w:val="auto"/>
          <w:szCs w:val="24"/>
        </w:rPr>
      </w:sdtEndPr>
      <w:sdtContent>
        <w:p w14:paraId="5146FA46" w14:textId="68052F05" w:rsidR="001B2347" w:rsidRDefault="001B2347" w:rsidP="00FE7B38">
          <w:pPr>
            <w:pStyle w:val="Sansinterligne"/>
            <w:spacing w:before="1540" w:after="240"/>
            <w:jc w:val="center"/>
            <w:rPr>
              <w:noProof/>
              <w:color w:val="4472C4" w:themeColor="accent1"/>
              <w:lang w:eastAsia="ja-JP"/>
            </w:rPr>
          </w:pPr>
          <w:r>
            <w:rPr>
              <w:noProof/>
              <w:color w:val="4472C4" w:themeColor="accent1"/>
              <w:lang w:eastAsia="fr-FR"/>
            </w:rPr>
            <w:drawing>
              <wp:anchor distT="0" distB="0" distL="114300" distR="114300" simplePos="0" relativeHeight="251658240" behindDoc="1" locked="0" layoutInCell="1" allowOverlap="1" wp14:anchorId="41976E56" wp14:editId="2EBF88AE">
                <wp:simplePos x="0" y="0"/>
                <wp:positionH relativeFrom="page">
                  <wp:align>left</wp:align>
                </wp:positionH>
                <wp:positionV relativeFrom="page">
                  <wp:align>top</wp:align>
                </wp:positionV>
                <wp:extent cx="7561548" cy="10695931"/>
                <wp:effectExtent l="0" t="0" r="1905"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ge de garde4.jpg"/>
                        <pic:cNvPicPr/>
                      </pic:nvPicPr>
                      <pic:blipFill>
                        <a:blip r:embed="rId8">
                          <a:extLst>
                            <a:ext uri="{28A0092B-C50C-407E-A947-70E740481C1C}">
                              <a14:useLocalDpi xmlns:a14="http://schemas.microsoft.com/office/drawing/2010/main" val="0"/>
                            </a:ext>
                          </a:extLst>
                        </a:blip>
                        <a:stretch>
                          <a:fillRect/>
                        </a:stretch>
                      </pic:blipFill>
                      <pic:spPr>
                        <a:xfrm>
                          <a:off x="0" y="0"/>
                          <a:ext cx="7561548" cy="10695931"/>
                        </a:xfrm>
                        <a:prstGeom prst="rect">
                          <a:avLst/>
                        </a:prstGeom>
                      </pic:spPr>
                    </pic:pic>
                  </a:graphicData>
                </a:graphic>
                <wp14:sizeRelH relativeFrom="margin">
                  <wp14:pctWidth>0</wp14:pctWidth>
                </wp14:sizeRelH>
                <wp14:sizeRelV relativeFrom="margin">
                  <wp14:pctHeight>0</wp14:pctHeight>
                </wp14:sizeRelV>
              </wp:anchor>
            </w:drawing>
          </w:r>
        </w:p>
        <w:p w14:paraId="21BE6DFE" w14:textId="29E9C66F" w:rsidR="001B2347" w:rsidRDefault="0051753C">
          <w:pPr>
            <w:rPr>
              <w:rFonts w:ascii="Tahoma" w:hAnsi="Tahoma" w:cs="Tahoma"/>
              <w:szCs w:val="24"/>
            </w:rPr>
          </w:pPr>
          <w:r>
            <w:rPr>
              <w:noProof/>
              <w:szCs w:val="24"/>
              <w:lang w:eastAsia="fr-FR"/>
            </w:rPr>
            <mc:AlternateContent>
              <mc:Choice Requires="wps">
                <w:drawing>
                  <wp:anchor distT="0" distB="0" distL="114300" distR="114300" simplePos="0" relativeHeight="251795456" behindDoc="1" locked="0" layoutInCell="1" allowOverlap="1" wp14:anchorId="63B51230" wp14:editId="0A545E7C">
                    <wp:simplePos x="0" y="0"/>
                    <wp:positionH relativeFrom="margin">
                      <wp:posOffset>15240</wp:posOffset>
                    </wp:positionH>
                    <wp:positionV relativeFrom="page">
                      <wp:posOffset>3461335</wp:posOffset>
                    </wp:positionV>
                    <wp:extent cx="5778166" cy="993228"/>
                    <wp:effectExtent l="0" t="0" r="13335" b="16510"/>
                    <wp:wrapNone/>
                    <wp:docPr id="168" name="Zone de texte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166" cy="9932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7B5DF" w14:textId="11461E44" w:rsidR="00A25197" w:rsidRPr="005D37B5" w:rsidRDefault="005D37B5" w:rsidP="0051753C">
                                <w:pPr>
                                  <w:spacing w:before="17"/>
                                  <w:ind w:left="20"/>
                                  <w:jc w:val="center"/>
                                  <w:rPr>
                                    <w:rFonts w:ascii="Impact" w:hAnsi="Impact"/>
                                    <w:color w:val="833C0B" w:themeColor="accent2" w:themeShade="80"/>
                                    <w:sz w:val="60"/>
                                    <w:szCs w:val="60"/>
                                  </w:rPr>
                                </w:pPr>
                                <w:r w:rsidRPr="005D37B5">
                                  <w:rPr>
                                    <w:rFonts w:ascii="Impact" w:hAnsi="Impact"/>
                                    <w:color w:val="833C0B" w:themeColor="accent2" w:themeShade="80"/>
                                    <w:w w:val="105"/>
                                    <w:sz w:val="60"/>
                                    <w:szCs w:val="60"/>
                                  </w:rPr>
                                  <w:t>PROJET DE STRATEGIE</w:t>
                                </w:r>
                                <w:r w:rsidR="00A25197" w:rsidRPr="005D37B5">
                                  <w:rPr>
                                    <w:rFonts w:ascii="Impact" w:hAnsi="Impact"/>
                                    <w:color w:val="833C0B" w:themeColor="accent2" w:themeShade="80"/>
                                    <w:spacing w:val="-7"/>
                                    <w:w w:val="105"/>
                                    <w:sz w:val="60"/>
                                    <w:szCs w:val="60"/>
                                  </w:rPr>
                                  <w:t xml:space="preserve"> </w:t>
                                </w:r>
                                <w:r w:rsidR="00A25197" w:rsidRPr="005D37B5">
                                  <w:rPr>
                                    <w:rFonts w:ascii="Impact" w:hAnsi="Impact"/>
                                    <w:color w:val="833C0B" w:themeColor="accent2" w:themeShade="80"/>
                                    <w:w w:val="105"/>
                                    <w:sz w:val="60"/>
                                    <w:szCs w:val="60"/>
                                  </w:rPr>
                                  <w:t>NATIONALE</w:t>
                                </w:r>
                                <w:r w:rsidR="00A25197" w:rsidRPr="005D37B5">
                                  <w:rPr>
                                    <w:rFonts w:ascii="Impact" w:hAnsi="Impact"/>
                                    <w:color w:val="833C0B" w:themeColor="accent2" w:themeShade="80"/>
                                    <w:spacing w:val="-7"/>
                                    <w:w w:val="105"/>
                                    <w:sz w:val="60"/>
                                    <w:szCs w:val="60"/>
                                  </w:rPr>
                                  <w:t xml:space="preserve"> </w:t>
                                </w:r>
                                <w:r w:rsidR="00A25197" w:rsidRPr="005D37B5">
                                  <w:rPr>
                                    <w:rFonts w:ascii="Impact" w:hAnsi="Impact"/>
                                    <w:color w:val="833C0B" w:themeColor="accent2" w:themeShade="80"/>
                                    <w:w w:val="105"/>
                                    <w:sz w:val="60"/>
                                    <w:szCs w:val="60"/>
                                  </w:rPr>
                                  <w:t>D’INTEGRATION</w:t>
                                </w:r>
                                <w:r w:rsidR="00A25197" w:rsidRPr="005D37B5">
                                  <w:rPr>
                                    <w:rFonts w:ascii="Impact" w:hAnsi="Impact"/>
                                    <w:color w:val="833C0B" w:themeColor="accent2" w:themeShade="80"/>
                                    <w:spacing w:val="-7"/>
                                    <w:w w:val="105"/>
                                    <w:sz w:val="60"/>
                                    <w:szCs w:val="60"/>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B51230" id="_x0000_t202" coordsize="21600,21600" o:spt="202" path="m,l,21600r21600,l21600,xe">
                    <v:stroke joinstyle="miter"/>
                    <v:path gradientshapeok="t" o:connecttype="rect"/>
                  </v:shapetype>
                  <v:shape id="Zone de texte 168" o:spid="_x0000_s1026" type="#_x0000_t202" style="position:absolute;left:0;text-align:left;margin-left:1.2pt;margin-top:272.55pt;width:454.95pt;height:78.2pt;z-index:-25152102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" filled="f" stroked="f">
                    <v:textbox inset="0,0,0,0">
                      <w:txbxContent>
                        <w:p w14:paraId="3487B5DF" w14:textId="11461E44" w:rsidR="00A25197" w:rsidRPr="005D37B5" w:rsidRDefault="005D37B5" w:rsidP="0051753C">
                          <w:pPr>
                            <w:spacing w:before="17"/>
                            <w:ind w:left="20"/>
                            <w:jc w:val="center"/>
                            <w:rPr>
                              <w:rFonts w:ascii="Impact" w:hAnsi="Impact"/>
                              <w:color w:val="833C0B" w:themeColor="accent2" w:themeShade="80"/>
                              <w:sz w:val="60"/>
                              <w:szCs w:val="60"/>
                            </w:rPr>
                          </w:pPr>
                          <w:r w:rsidRPr="005D37B5">
                            <w:rPr>
                              <w:rFonts w:ascii="Impact" w:hAnsi="Impact"/>
                              <w:color w:val="833C0B" w:themeColor="accent2" w:themeShade="80"/>
                              <w:w w:val="105"/>
                              <w:sz w:val="60"/>
                              <w:szCs w:val="60"/>
                            </w:rPr>
                            <w:t>PROJET DE STRATEGIE</w:t>
                          </w:r>
                          <w:r w:rsidR="00A25197" w:rsidRPr="005D37B5">
                            <w:rPr>
                              <w:rFonts w:ascii="Impact" w:hAnsi="Impact"/>
                              <w:color w:val="833C0B" w:themeColor="accent2" w:themeShade="80"/>
                              <w:spacing w:val="-7"/>
                              <w:w w:val="105"/>
                              <w:sz w:val="60"/>
                              <w:szCs w:val="60"/>
                            </w:rPr>
                            <w:t xml:space="preserve"> </w:t>
                          </w:r>
                          <w:r w:rsidR="00A25197" w:rsidRPr="005D37B5">
                            <w:rPr>
                              <w:rFonts w:ascii="Impact" w:hAnsi="Impact"/>
                              <w:color w:val="833C0B" w:themeColor="accent2" w:themeShade="80"/>
                              <w:w w:val="105"/>
                              <w:sz w:val="60"/>
                              <w:szCs w:val="60"/>
                            </w:rPr>
                            <w:t>NATIONALE</w:t>
                          </w:r>
                          <w:r w:rsidR="00A25197" w:rsidRPr="005D37B5">
                            <w:rPr>
                              <w:rFonts w:ascii="Impact" w:hAnsi="Impact"/>
                              <w:color w:val="833C0B" w:themeColor="accent2" w:themeShade="80"/>
                              <w:spacing w:val="-7"/>
                              <w:w w:val="105"/>
                              <w:sz w:val="60"/>
                              <w:szCs w:val="60"/>
                            </w:rPr>
                            <w:t xml:space="preserve"> </w:t>
                          </w:r>
                          <w:r w:rsidR="00A25197" w:rsidRPr="005D37B5">
                            <w:rPr>
                              <w:rFonts w:ascii="Impact" w:hAnsi="Impact"/>
                              <w:color w:val="833C0B" w:themeColor="accent2" w:themeShade="80"/>
                              <w:w w:val="105"/>
                              <w:sz w:val="60"/>
                              <w:szCs w:val="60"/>
                            </w:rPr>
                            <w:t>D’INTEGRATION</w:t>
                          </w:r>
                          <w:r w:rsidR="00A25197" w:rsidRPr="005D37B5">
                            <w:rPr>
                              <w:rFonts w:ascii="Impact" w:hAnsi="Impact"/>
                              <w:color w:val="833C0B" w:themeColor="accent2" w:themeShade="80"/>
                              <w:spacing w:val="-7"/>
                              <w:w w:val="105"/>
                              <w:sz w:val="60"/>
                              <w:szCs w:val="60"/>
                            </w:rPr>
                            <w:t xml:space="preserve"> </w:t>
                          </w:r>
                        </w:p>
                      </w:txbxContent>
                    </v:textbox>
                    <w10:wrap anchorx="margin" anchory="page"/>
                  </v:shape>
                </w:pict>
              </mc:Fallback>
            </mc:AlternateContent>
          </w:r>
          <w:r w:rsidR="001B2347">
            <w:rPr>
              <w:rFonts w:ascii="Tahoma" w:hAnsi="Tahoma" w:cs="Tahoma"/>
              <w:szCs w:val="24"/>
            </w:rPr>
            <w:br w:type="page"/>
          </w:r>
        </w:p>
      </w:sdtContent>
    </w:sdt>
    <w:p w14:paraId="0486CA98" w14:textId="1FA58AD8" w:rsidR="0034692F" w:rsidRPr="00441468" w:rsidRDefault="00B235F3" w:rsidP="00F55AE3">
      <w:pPr>
        <w:jc w:val="center"/>
        <w:rPr>
          <w:rFonts w:ascii="Tahoma" w:hAnsi="Tahoma" w:cs="Tahoma"/>
          <w:b/>
          <w:color w:val="2F9AB3"/>
          <w:sz w:val="32"/>
          <w:szCs w:val="32"/>
        </w:rPr>
      </w:pPr>
      <w:r w:rsidRPr="00F55AE3">
        <w:rPr>
          <w:rFonts w:ascii="Tahoma" w:hAnsi="Tahoma" w:cs="Tahoma"/>
          <w:b/>
          <w:noProof/>
          <w:color w:val="833C0B" w:themeColor="accent2" w:themeShade="80"/>
          <w:sz w:val="32"/>
          <w:szCs w:val="32"/>
          <w:lang w:eastAsia="fr-FR"/>
        </w:rPr>
        <w:lastRenderedPageBreak/>
        <w:drawing>
          <wp:anchor distT="0" distB="0" distL="114300" distR="114300" simplePos="0" relativeHeight="251659264" behindDoc="1" locked="1" layoutInCell="1" allowOverlap="1" wp14:anchorId="5D4B0AFC" wp14:editId="2F0662D3">
            <wp:simplePos x="0" y="0"/>
            <wp:positionH relativeFrom="page">
              <wp:align>right</wp:align>
            </wp:positionH>
            <wp:positionV relativeFrom="page">
              <wp:align>top</wp:align>
            </wp:positionV>
            <wp:extent cx="7579995" cy="10001250"/>
            <wp:effectExtent l="0" t="0" r="1905"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9">
                      <a:extLst>
                        <a:ext uri="{28A0092B-C50C-407E-A947-70E740481C1C}">
                          <a14:useLocalDpi xmlns:a14="http://schemas.microsoft.com/office/drawing/2010/main" val="0"/>
                        </a:ext>
                      </a:extLst>
                    </a:blip>
                    <a:stretch>
                      <a:fillRect/>
                    </a:stretch>
                  </pic:blipFill>
                  <pic:spPr>
                    <a:xfrm>
                      <a:off x="0" y="0"/>
                      <a:ext cx="7579995" cy="10001250"/>
                    </a:xfrm>
                    <a:prstGeom prst="rect">
                      <a:avLst/>
                    </a:prstGeom>
                  </pic:spPr>
                </pic:pic>
              </a:graphicData>
            </a:graphic>
            <wp14:sizeRelH relativeFrom="page">
              <wp14:pctWidth>0</wp14:pctWidth>
            </wp14:sizeRelH>
            <wp14:sizeRelV relativeFrom="page">
              <wp14:pctHeight>0</wp14:pctHeight>
            </wp14:sizeRelV>
          </wp:anchor>
        </w:drawing>
      </w:r>
      <w:r w:rsidR="00F706B9" w:rsidRPr="00F55AE3">
        <w:rPr>
          <w:rFonts w:ascii="Tahoma" w:hAnsi="Tahoma" w:cs="Tahoma"/>
          <w:b/>
          <w:color w:val="833C0B" w:themeColor="accent2" w:themeShade="80"/>
          <w:sz w:val="32"/>
          <w:szCs w:val="32"/>
        </w:rPr>
        <w:t>TABLE DES MATIERES</w:t>
      </w:r>
    </w:p>
    <w:p w14:paraId="217AEE53" w14:textId="77777777" w:rsidR="000E368D" w:rsidRDefault="000E368D">
      <w:pPr>
        <w:pStyle w:val="TM1"/>
        <w:rPr>
          <w:rFonts w:asciiTheme="minorHAnsi" w:eastAsiaTheme="minorEastAsia" w:hAnsiTheme="minorHAnsi"/>
          <w:noProof/>
          <w:color w:val="auto"/>
          <w:sz w:val="22"/>
          <w:lang w:eastAsia="fr-FR"/>
        </w:rPr>
      </w:pPr>
      <w:r>
        <w:rPr>
          <w:rFonts w:cs="Tahoma"/>
          <w:b/>
          <w:szCs w:val="24"/>
        </w:rPr>
        <w:fldChar w:fldCharType="begin"/>
      </w:r>
      <w:r>
        <w:rPr>
          <w:rFonts w:cs="Tahoma"/>
          <w:b/>
          <w:szCs w:val="24"/>
        </w:rPr>
        <w:instrText xml:space="preserve"> TOC \o "1-5" \h \z \u </w:instrText>
      </w:r>
      <w:r>
        <w:rPr>
          <w:rFonts w:cs="Tahoma"/>
          <w:b/>
          <w:szCs w:val="24"/>
        </w:rPr>
        <w:fldChar w:fldCharType="separate"/>
      </w:r>
      <w:hyperlink w:anchor="_Toc135140165" w:history="1">
        <w:r w:rsidRPr="00CE52CD">
          <w:rPr>
            <w:rStyle w:val="Lienhypertexte"/>
            <w:noProof/>
          </w:rPr>
          <w:t>PARTIE I : DIAGNOSTIC DE LA GOUVERNANCE DE L’INTEGRATION REGIONALE</w:t>
        </w:r>
        <w:r>
          <w:rPr>
            <w:noProof/>
            <w:webHidden/>
          </w:rPr>
          <w:tab/>
        </w:r>
        <w:r>
          <w:rPr>
            <w:noProof/>
            <w:webHidden/>
          </w:rPr>
          <w:fldChar w:fldCharType="begin"/>
        </w:r>
        <w:r>
          <w:rPr>
            <w:noProof/>
            <w:webHidden/>
          </w:rPr>
          <w:instrText xml:space="preserve"> PAGEREF _Toc135140165 \h </w:instrText>
        </w:r>
        <w:r>
          <w:rPr>
            <w:noProof/>
            <w:webHidden/>
          </w:rPr>
        </w:r>
        <w:r>
          <w:rPr>
            <w:noProof/>
            <w:webHidden/>
          </w:rPr>
          <w:fldChar w:fldCharType="separate"/>
        </w:r>
        <w:r>
          <w:rPr>
            <w:noProof/>
            <w:webHidden/>
          </w:rPr>
          <w:t>5</w:t>
        </w:r>
        <w:r>
          <w:rPr>
            <w:noProof/>
            <w:webHidden/>
          </w:rPr>
          <w:fldChar w:fldCharType="end"/>
        </w:r>
      </w:hyperlink>
    </w:p>
    <w:p w14:paraId="0415A8EB" w14:textId="77777777" w:rsidR="000E368D" w:rsidRDefault="00890DD7">
      <w:pPr>
        <w:pStyle w:val="TM2"/>
        <w:tabs>
          <w:tab w:val="right" w:leader="dot" w:pos="9060"/>
        </w:tabs>
        <w:rPr>
          <w:rFonts w:asciiTheme="minorHAnsi" w:eastAsiaTheme="minorEastAsia" w:hAnsiTheme="minorHAnsi"/>
          <w:b w:val="0"/>
          <w:noProof/>
          <w:color w:val="auto"/>
          <w:sz w:val="22"/>
          <w:lang w:eastAsia="fr-FR"/>
        </w:rPr>
      </w:pPr>
      <w:hyperlink w:anchor="_Toc135140166" w:history="1">
        <w:r w:rsidR="000E368D" w:rsidRPr="00CE52CD">
          <w:rPr>
            <w:rStyle w:val="Lienhypertexte"/>
            <w:noProof/>
          </w:rPr>
          <w:t>I. CONTEXTE ET JUSTIFICATION</w:t>
        </w:r>
        <w:r w:rsidR="000E368D">
          <w:rPr>
            <w:noProof/>
            <w:webHidden/>
          </w:rPr>
          <w:tab/>
        </w:r>
        <w:r w:rsidR="000E368D">
          <w:rPr>
            <w:noProof/>
            <w:webHidden/>
          </w:rPr>
          <w:fldChar w:fldCharType="begin"/>
        </w:r>
        <w:r w:rsidR="000E368D">
          <w:rPr>
            <w:noProof/>
            <w:webHidden/>
          </w:rPr>
          <w:instrText xml:space="preserve"> PAGEREF _Toc135140166 \h </w:instrText>
        </w:r>
        <w:r w:rsidR="000E368D">
          <w:rPr>
            <w:noProof/>
            <w:webHidden/>
          </w:rPr>
        </w:r>
        <w:r w:rsidR="000E368D">
          <w:rPr>
            <w:noProof/>
            <w:webHidden/>
          </w:rPr>
          <w:fldChar w:fldCharType="separate"/>
        </w:r>
        <w:r w:rsidR="000E368D">
          <w:rPr>
            <w:noProof/>
            <w:webHidden/>
          </w:rPr>
          <w:t>6</w:t>
        </w:r>
        <w:r w:rsidR="000E368D">
          <w:rPr>
            <w:noProof/>
            <w:webHidden/>
          </w:rPr>
          <w:fldChar w:fldCharType="end"/>
        </w:r>
      </w:hyperlink>
    </w:p>
    <w:p w14:paraId="4DFDECC7" w14:textId="77777777" w:rsidR="000E368D" w:rsidRDefault="00890DD7">
      <w:pPr>
        <w:pStyle w:val="TM2"/>
        <w:tabs>
          <w:tab w:val="right" w:leader="dot" w:pos="9060"/>
        </w:tabs>
        <w:rPr>
          <w:rFonts w:asciiTheme="minorHAnsi" w:eastAsiaTheme="minorEastAsia" w:hAnsiTheme="minorHAnsi"/>
          <w:b w:val="0"/>
          <w:noProof/>
          <w:color w:val="auto"/>
          <w:sz w:val="22"/>
          <w:lang w:eastAsia="fr-FR"/>
        </w:rPr>
      </w:pPr>
      <w:hyperlink w:anchor="_Toc135140167" w:history="1">
        <w:r w:rsidR="000E368D" w:rsidRPr="00CE52CD">
          <w:rPr>
            <w:rStyle w:val="Lienhypertexte"/>
            <w:noProof/>
          </w:rPr>
          <w:t>II. APPROCHE METHODOLOGIQUE</w:t>
        </w:r>
        <w:r w:rsidR="000E368D">
          <w:rPr>
            <w:noProof/>
            <w:webHidden/>
          </w:rPr>
          <w:tab/>
        </w:r>
        <w:r w:rsidR="000E368D">
          <w:rPr>
            <w:noProof/>
            <w:webHidden/>
          </w:rPr>
          <w:fldChar w:fldCharType="begin"/>
        </w:r>
        <w:r w:rsidR="000E368D">
          <w:rPr>
            <w:noProof/>
            <w:webHidden/>
          </w:rPr>
          <w:instrText xml:space="preserve"> PAGEREF _Toc135140167 \h </w:instrText>
        </w:r>
        <w:r w:rsidR="000E368D">
          <w:rPr>
            <w:noProof/>
            <w:webHidden/>
          </w:rPr>
        </w:r>
        <w:r w:rsidR="000E368D">
          <w:rPr>
            <w:noProof/>
            <w:webHidden/>
          </w:rPr>
          <w:fldChar w:fldCharType="separate"/>
        </w:r>
        <w:r w:rsidR="000E368D">
          <w:rPr>
            <w:noProof/>
            <w:webHidden/>
          </w:rPr>
          <w:t>7</w:t>
        </w:r>
        <w:r w:rsidR="000E368D">
          <w:rPr>
            <w:noProof/>
            <w:webHidden/>
          </w:rPr>
          <w:fldChar w:fldCharType="end"/>
        </w:r>
      </w:hyperlink>
    </w:p>
    <w:p w14:paraId="21716AFB"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68" w:history="1">
        <w:r w:rsidR="000E368D" w:rsidRPr="00CE52CD">
          <w:rPr>
            <w:rStyle w:val="Lienhypertexte"/>
            <w:noProof/>
          </w:rPr>
          <w:t>II. 1. Démarche</w:t>
        </w:r>
        <w:r w:rsidR="000E368D">
          <w:rPr>
            <w:noProof/>
            <w:webHidden/>
          </w:rPr>
          <w:tab/>
        </w:r>
        <w:r w:rsidR="000E368D">
          <w:rPr>
            <w:noProof/>
            <w:webHidden/>
          </w:rPr>
          <w:fldChar w:fldCharType="begin"/>
        </w:r>
        <w:r w:rsidR="000E368D">
          <w:rPr>
            <w:noProof/>
            <w:webHidden/>
          </w:rPr>
          <w:instrText xml:space="preserve"> PAGEREF _Toc135140168 \h </w:instrText>
        </w:r>
        <w:r w:rsidR="000E368D">
          <w:rPr>
            <w:noProof/>
            <w:webHidden/>
          </w:rPr>
        </w:r>
        <w:r w:rsidR="000E368D">
          <w:rPr>
            <w:noProof/>
            <w:webHidden/>
          </w:rPr>
          <w:fldChar w:fldCharType="separate"/>
        </w:r>
        <w:r w:rsidR="000E368D">
          <w:rPr>
            <w:noProof/>
            <w:webHidden/>
          </w:rPr>
          <w:t>7</w:t>
        </w:r>
        <w:r w:rsidR="000E368D">
          <w:rPr>
            <w:noProof/>
            <w:webHidden/>
          </w:rPr>
          <w:fldChar w:fldCharType="end"/>
        </w:r>
      </w:hyperlink>
    </w:p>
    <w:p w14:paraId="1721ED1D"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69" w:history="1">
        <w:r w:rsidR="000E368D" w:rsidRPr="00CE52CD">
          <w:rPr>
            <w:rStyle w:val="Lienhypertexte"/>
            <w:noProof/>
          </w:rPr>
          <w:t>II.2. Revue documentaire</w:t>
        </w:r>
        <w:r w:rsidR="000E368D">
          <w:rPr>
            <w:noProof/>
            <w:webHidden/>
          </w:rPr>
          <w:tab/>
        </w:r>
        <w:r w:rsidR="000E368D">
          <w:rPr>
            <w:noProof/>
            <w:webHidden/>
          </w:rPr>
          <w:fldChar w:fldCharType="begin"/>
        </w:r>
        <w:r w:rsidR="000E368D">
          <w:rPr>
            <w:noProof/>
            <w:webHidden/>
          </w:rPr>
          <w:instrText xml:space="preserve"> PAGEREF _Toc135140169 \h </w:instrText>
        </w:r>
        <w:r w:rsidR="000E368D">
          <w:rPr>
            <w:noProof/>
            <w:webHidden/>
          </w:rPr>
        </w:r>
        <w:r w:rsidR="000E368D">
          <w:rPr>
            <w:noProof/>
            <w:webHidden/>
          </w:rPr>
          <w:fldChar w:fldCharType="separate"/>
        </w:r>
        <w:r w:rsidR="000E368D">
          <w:rPr>
            <w:noProof/>
            <w:webHidden/>
          </w:rPr>
          <w:t>7</w:t>
        </w:r>
        <w:r w:rsidR="000E368D">
          <w:rPr>
            <w:noProof/>
            <w:webHidden/>
          </w:rPr>
          <w:fldChar w:fldCharType="end"/>
        </w:r>
      </w:hyperlink>
    </w:p>
    <w:p w14:paraId="0B92216B" w14:textId="77777777" w:rsidR="000E368D" w:rsidRDefault="00890DD7">
      <w:pPr>
        <w:pStyle w:val="TM2"/>
        <w:tabs>
          <w:tab w:val="right" w:leader="dot" w:pos="9060"/>
        </w:tabs>
        <w:rPr>
          <w:rFonts w:asciiTheme="minorHAnsi" w:eastAsiaTheme="minorEastAsia" w:hAnsiTheme="minorHAnsi"/>
          <w:b w:val="0"/>
          <w:noProof/>
          <w:color w:val="auto"/>
          <w:sz w:val="22"/>
          <w:lang w:eastAsia="fr-FR"/>
        </w:rPr>
      </w:pPr>
      <w:hyperlink w:anchor="_Toc135140170" w:history="1">
        <w:r w:rsidR="000E368D" w:rsidRPr="00CE52CD">
          <w:rPr>
            <w:rStyle w:val="Lienhypertexte"/>
            <w:noProof/>
          </w:rPr>
          <w:t>III. ANALYSE DIAGNOSTIQUE DE L’INTEGRATION REGIONALE</w:t>
        </w:r>
        <w:r w:rsidR="000E368D">
          <w:rPr>
            <w:noProof/>
            <w:webHidden/>
          </w:rPr>
          <w:tab/>
        </w:r>
        <w:r w:rsidR="000E368D">
          <w:rPr>
            <w:noProof/>
            <w:webHidden/>
          </w:rPr>
          <w:fldChar w:fldCharType="begin"/>
        </w:r>
        <w:r w:rsidR="000E368D">
          <w:rPr>
            <w:noProof/>
            <w:webHidden/>
          </w:rPr>
          <w:instrText xml:space="preserve"> PAGEREF _Toc135140170 \h </w:instrText>
        </w:r>
        <w:r w:rsidR="000E368D">
          <w:rPr>
            <w:noProof/>
            <w:webHidden/>
          </w:rPr>
        </w:r>
        <w:r w:rsidR="000E368D">
          <w:rPr>
            <w:noProof/>
            <w:webHidden/>
          </w:rPr>
          <w:fldChar w:fldCharType="separate"/>
        </w:r>
        <w:r w:rsidR="000E368D">
          <w:rPr>
            <w:noProof/>
            <w:webHidden/>
          </w:rPr>
          <w:t>8</w:t>
        </w:r>
        <w:r w:rsidR="000E368D">
          <w:rPr>
            <w:noProof/>
            <w:webHidden/>
          </w:rPr>
          <w:fldChar w:fldCharType="end"/>
        </w:r>
      </w:hyperlink>
    </w:p>
    <w:p w14:paraId="0018BBF9"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71" w:history="1">
        <w:r w:rsidR="000E368D" w:rsidRPr="00CE52CD">
          <w:rPr>
            <w:rStyle w:val="Lienhypertexte"/>
            <w:noProof/>
          </w:rPr>
          <w:t>III.1. Gouvernance de l’intégration régionale</w:t>
        </w:r>
        <w:r w:rsidR="000E368D">
          <w:rPr>
            <w:noProof/>
            <w:webHidden/>
          </w:rPr>
          <w:tab/>
        </w:r>
        <w:r w:rsidR="000E368D">
          <w:rPr>
            <w:noProof/>
            <w:webHidden/>
          </w:rPr>
          <w:fldChar w:fldCharType="begin"/>
        </w:r>
        <w:r w:rsidR="000E368D">
          <w:rPr>
            <w:noProof/>
            <w:webHidden/>
          </w:rPr>
          <w:instrText xml:space="preserve"> PAGEREF _Toc135140171 \h </w:instrText>
        </w:r>
        <w:r w:rsidR="000E368D">
          <w:rPr>
            <w:noProof/>
            <w:webHidden/>
          </w:rPr>
        </w:r>
        <w:r w:rsidR="000E368D">
          <w:rPr>
            <w:noProof/>
            <w:webHidden/>
          </w:rPr>
          <w:fldChar w:fldCharType="separate"/>
        </w:r>
        <w:r w:rsidR="000E368D">
          <w:rPr>
            <w:noProof/>
            <w:webHidden/>
          </w:rPr>
          <w:t>8</w:t>
        </w:r>
        <w:r w:rsidR="000E368D">
          <w:rPr>
            <w:noProof/>
            <w:webHidden/>
          </w:rPr>
          <w:fldChar w:fldCharType="end"/>
        </w:r>
      </w:hyperlink>
    </w:p>
    <w:p w14:paraId="4FEFF87A" w14:textId="77777777" w:rsidR="000E368D" w:rsidRDefault="00890DD7">
      <w:pPr>
        <w:pStyle w:val="TM4"/>
        <w:tabs>
          <w:tab w:val="right" w:leader="dot" w:pos="9060"/>
        </w:tabs>
        <w:rPr>
          <w:rFonts w:asciiTheme="minorHAnsi" w:hAnsiTheme="minorHAnsi"/>
          <w:b w:val="0"/>
          <w:i w:val="0"/>
          <w:noProof/>
          <w:color w:val="auto"/>
          <w:sz w:val="22"/>
        </w:rPr>
      </w:pPr>
      <w:hyperlink w:anchor="_Toc135140172" w:history="1">
        <w:r w:rsidR="000E368D" w:rsidRPr="00CE52CD">
          <w:rPr>
            <w:rStyle w:val="Lienhypertexte"/>
            <w:noProof/>
          </w:rPr>
          <w:t>III.1.1. Gouvernance politique, juridique et institutionnelle</w:t>
        </w:r>
        <w:r w:rsidR="000E368D">
          <w:rPr>
            <w:noProof/>
            <w:webHidden/>
          </w:rPr>
          <w:tab/>
        </w:r>
        <w:r w:rsidR="000E368D">
          <w:rPr>
            <w:noProof/>
            <w:webHidden/>
          </w:rPr>
          <w:fldChar w:fldCharType="begin"/>
        </w:r>
        <w:r w:rsidR="000E368D">
          <w:rPr>
            <w:noProof/>
            <w:webHidden/>
          </w:rPr>
          <w:instrText xml:space="preserve"> PAGEREF _Toc135140172 \h </w:instrText>
        </w:r>
        <w:r w:rsidR="000E368D">
          <w:rPr>
            <w:noProof/>
            <w:webHidden/>
          </w:rPr>
        </w:r>
        <w:r w:rsidR="000E368D">
          <w:rPr>
            <w:noProof/>
            <w:webHidden/>
          </w:rPr>
          <w:fldChar w:fldCharType="separate"/>
        </w:r>
        <w:r w:rsidR="000E368D">
          <w:rPr>
            <w:noProof/>
            <w:webHidden/>
          </w:rPr>
          <w:t>8</w:t>
        </w:r>
        <w:r w:rsidR="000E368D">
          <w:rPr>
            <w:noProof/>
            <w:webHidden/>
          </w:rPr>
          <w:fldChar w:fldCharType="end"/>
        </w:r>
      </w:hyperlink>
    </w:p>
    <w:p w14:paraId="441C42ED" w14:textId="77777777" w:rsidR="000E368D" w:rsidRDefault="00890DD7">
      <w:pPr>
        <w:pStyle w:val="TM4"/>
        <w:tabs>
          <w:tab w:val="right" w:leader="dot" w:pos="9060"/>
        </w:tabs>
        <w:rPr>
          <w:rFonts w:asciiTheme="minorHAnsi" w:hAnsiTheme="minorHAnsi"/>
          <w:b w:val="0"/>
          <w:i w:val="0"/>
          <w:noProof/>
          <w:color w:val="auto"/>
          <w:sz w:val="22"/>
        </w:rPr>
      </w:pPr>
      <w:hyperlink w:anchor="_Toc135140173" w:history="1">
        <w:r w:rsidR="000E368D" w:rsidRPr="00CE52CD">
          <w:rPr>
            <w:rStyle w:val="Lienhypertexte"/>
            <w:noProof/>
          </w:rPr>
          <w:t>III.1.2. Gouvernance économique et sociale</w:t>
        </w:r>
        <w:r w:rsidR="000E368D">
          <w:rPr>
            <w:noProof/>
            <w:webHidden/>
          </w:rPr>
          <w:tab/>
        </w:r>
        <w:r w:rsidR="000E368D">
          <w:rPr>
            <w:noProof/>
            <w:webHidden/>
          </w:rPr>
          <w:fldChar w:fldCharType="begin"/>
        </w:r>
        <w:r w:rsidR="000E368D">
          <w:rPr>
            <w:noProof/>
            <w:webHidden/>
          </w:rPr>
          <w:instrText xml:space="preserve"> PAGEREF _Toc135140173 \h </w:instrText>
        </w:r>
        <w:r w:rsidR="000E368D">
          <w:rPr>
            <w:noProof/>
            <w:webHidden/>
          </w:rPr>
        </w:r>
        <w:r w:rsidR="000E368D">
          <w:rPr>
            <w:noProof/>
            <w:webHidden/>
          </w:rPr>
          <w:fldChar w:fldCharType="separate"/>
        </w:r>
        <w:r w:rsidR="000E368D">
          <w:rPr>
            <w:noProof/>
            <w:webHidden/>
          </w:rPr>
          <w:t>13</w:t>
        </w:r>
        <w:r w:rsidR="000E368D">
          <w:rPr>
            <w:noProof/>
            <w:webHidden/>
          </w:rPr>
          <w:fldChar w:fldCharType="end"/>
        </w:r>
      </w:hyperlink>
    </w:p>
    <w:p w14:paraId="0B406713"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74" w:history="1">
        <w:r w:rsidR="000E368D" w:rsidRPr="00CE52CD">
          <w:rPr>
            <w:rStyle w:val="Lienhypertexte"/>
            <w:rFonts w:cs="Arial"/>
            <w:noProof/>
          </w:rPr>
          <w:t>III.2. Compétitivité et développement inclusif</w:t>
        </w:r>
        <w:r w:rsidR="000E368D">
          <w:rPr>
            <w:noProof/>
            <w:webHidden/>
          </w:rPr>
          <w:tab/>
        </w:r>
        <w:r w:rsidR="000E368D">
          <w:rPr>
            <w:noProof/>
            <w:webHidden/>
          </w:rPr>
          <w:fldChar w:fldCharType="begin"/>
        </w:r>
        <w:r w:rsidR="000E368D">
          <w:rPr>
            <w:noProof/>
            <w:webHidden/>
          </w:rPr>
          <w:instrText xml:space="preserve"> PAGEREF _Toc135140174 \h </w:instrText>
        </w:r>
        <w:r w:rsidR="000E368D">
          <w:rPr>
            <w:noProof/>
            <w:webHidden/>
          </w:rPr>
        </w:r>
        <w:r w:rsidR="000E368D">
          <w:rPr>
            <w:noProof/>
            <w:webHidden/>
          </w:rPr>
          <w:fldChar w:fldCharType="separate"/>
        </w:r>
        <w:r w:rsidR="000E368D">
          <w:rPr>
            <w:noProof/>
            <w:webHidden/>
          </w:rPr>
          <w:t>16</w:t>
        </w:r>
        <w:r w:rsidR="000E368D">
          <w:rPr>
            <w:noProof/>
            <w:webHidden/>
          </w:rPr>
          <w:fldChar w:fldCharType="end"/>
        </w:r>
      </w:hyperlink>
    </w:p>
    <w:p w14:paraId="40BF09BC" w14:textId="77777777" w:rsidR="000E368D" w:rsidRDefault="00890DD7">
      <w:pPr>
        <w:pStyle w:val="TM4"/>
        <w:tabs>
          <w:tab w:val="right" w:leader="dot" w:pos="9060"/>
        </w:tabs>
        <w:rPr>
          <w:rFonts w:asciiTheme="minorHAnsi" w:hAnsiTheme="minorHAnsi"/>
          <w:b w:val="0"/>
          <w:i w:val="0"/>
          <w:noProof/>
          <w:color w:val="auto"/>
          <w:sz w:val="22"/>
        </w:rPr>
      </w:pPr>
      <w:hyperlink w:anchor="_Toc135140175" w:history="1">
        <w:r w:rsidR="000E368D" w:rsidRPr="00CE52CD">
          <w:rPr>
            <w:rStyle w:val="Lienhypertexte"/>
            <w:noProof/>
          </w:rPr>
          <w:t>III.2.1. Capacités productives</w:t>
        </w:r>
        <w:r w:rsidR="000E368D">
          <w:rPr>
            <w:noProof/>
            <w:webHidden/>
          </w:rPr>
          <w:tab/>
        </w:r>
        <w:r w:rsidR="000E368D">
          <w:rPr>
            <w:noProof/>
            <w:webHidden/>
          </w:rPr>
          <w:fldChar w:fldCharType="begin"/>
        </w:r>
        <w:r w:rsidR="000E368D">
          <w:rPr>
            <w:noProof/>
            <w:webHidden/>
          </w:rPr>
          <w:instrText xml:space="preserve"> PAGEREF _Toc135140175 \h </w:instrText>
        </w:r>
        <w:r w:rsidR="000E368D">
          <w:rPr>
            <w:noProof/>
            <w:webHidden/>
          </w:rPr>
        </w:r>
        <w:r w:rsidR="000E368D">
          <w:rPr>
            <w:noProof/>
            <w:webHidden/>
          </w:rPr>
          <w:fldChar w:fldCharType="separate"/>
        </w:r>
        <w:r w:rsidR="000E368D">
          <w:rPr>
            <w:noProof/>
            <w:webHidden/>
          </w:rPr>
          <w:t>19</w:t>
        </w:r>
        <w:r w:rsidR="000E368D">
          <w:rPr>
            <w:noProof/>
            <w:webHidden/>
          </w:rPr>
          <w:fldChar w:fldCharType="end"/>
        </w:r>
      </w:hyperlink>
    </w:p>
    <w:p w14:paraId="7BE55639" w14:textId="77777777" w:rsidR="000E368D" w:rsidRDefault="00890DD7">
      <w:pPr>
        <w:pStyle w:val="TM4"/>
        <w:tabs>
          <w:tab w:val="right" w:leader="dot" w:pos="9060"/>
        </w:tabs>
        <w:rPr>
          <w:rFonts w:asciiTheme="minorHAnsi" w:hAnsiTheme="minorHAnsi"/>
          <w:b w:val="0"/>
          <w:i w:val="0"/>
          <w:noProof/>
          <w:color w:val="auto"/>
          <w:sz w:val="22"/>
        </w:rPr>
      </w:pPr>
      <w:hyperlink w:anchor="_Toc135140176" w:history="1">
        <w:r w:rsidR="000E368D" w:rsidRPr="00CE52CD">
          <w:rPr>
            <w:rStyle w:val="Lienhypertexte"/>
            <w:noProof/>
          </w:rPr>
          <w:t>III.2.2. Position du Sénégal sur les marchés régionaux</w:t>
        </w:r>
        <w:r w:rsidR="000E368D">
          <w:rPr>
            <w:noProof/>
            <w:webHidden/>
          </w:rPr>
          <w:tab/>
        </w:r>
        <w:r w:rsidR="000E368D">
          <w:rPr>
            <w:noProof/>
            <w:webHidden/>
          </w:rPr>
          <w:fldChar w:fldCharType="begin"/>
        </w:r>
        <w:r w:rsidR="000E368D">
          <w:rPr>
            <w:noProof/>
            <w:webHidden/>
          </w:rPr>
          <w:instrText xml:space="preserve"> PAGEREF _Toc135140176 \h </w:instrText>
        </w:r>
        <w:r w:rsidR="000E368D">
          <w:rPr>
            <w:noProof/>
            <w:webHidden/>
          </w:rPr>
        </w:r>
        <w:r w:rsidR="000E368D">
          <w:rPr>
            <w:noProof/>
            <w:webHidden/>
          </w:rPr>
          <w:fldChar w:fldCharType="separate"/>
        </w:r>
        <w:r w:rsidR="000E368D">
          <w:rPr>
            <w:noProof/>
            <w:webHidden/>
          </w:rPr>
          <w:t>22</w:t>
        </w:r>
        <w:r w:rsidR="000E368D">
          <w:rPr>
            <w:noProof/>
            <w:webHidden/>
          </w:rPr>
          <w:fldChar w:fldCharType="end"/>
        </w:r>
      </w:hyperlink>
    </w:p>
    <w:p w14:paraId="2829BC40" w14:textId="77777777" w:rsidR="000E368D" w:rsidRDefault="00890DD7">
      <w:pPr>
        <w:pStyle w:val="TM5"/>
        <w:tabs>
          <w:tab w:val="right" w:leader="dot" w:pos="9060"/>
        </w:tabs>
        <w:rPr>
          <w:rFonts w:asciiTheme="minorHAnsi" w:hAnsiTheme="minorHAnsi"/>
          <w:b w:val="0"/>
          <w:i w:val="0"/>
          <w:noProof/>
          <w:color w:val="auto"/>
          <w:sz w:val="22"/>
        </w:rPr>
      </w:pPr>
      <w:hyperlink w:anchor="_Toc135140177" w:history="1">
        <w:r w:rsidR="000E368D" w:rsidRPr="00CE52CD">
          <w:rPr>
            <w:rStyle w:val="Lienhypertexte"/>
            <w:noProof/>
          </w:rPr>
          <w:t>III.2.2.1. Dynamique des exportations et des importations</w:t>
        </w:r>
        <w:r w:rsidR="000E368D">
          <w:rPr>
            <w:noProof/>
            <w:webHidden/>
          </w:rPr>
          <w:tab/>
        </w:r>
        <w:r w:rsidR="000E368D">
          <w:rPr>
            <w:noProof/>
            <w:webHidden/>
          </w:rPr>
          <w:fldChar w:fldCharType="begin"/>
        </w:r>
        <w:r w:rsidR="000E368D">
          <w:rPr>
            <w:noProof/>
            <w:webHidden/>
          </w:rPr>
          <w:instrText xml:space="preserve"> PAGEREF _Toc135140177 \h </w:instrText>
        </w:r>
        <w:r w:rsidR="000E368D">
          <w:rPr>
            <w:noProof/>
            <w:webHidden/>
          </w:rPr>
        </w:r>
        <w:r w:rsidR="000E368D">
          <w:rPr>
            <w:noProof/>
            <w:webHidden/>
          </w:rPr>
          <w:fldChar w:fldCharType="separate"/>
        </w:r>
        <w:r w:rsidR="000E368D">
          <w:rPr>
            <w:noProof/>
            <w:webHidden/>
          </w:rPr>
          <w:t>22</w:t>
        </w:r>
        <w:r w:rsidR="000E368D">
          <w:rPr>
            <w:noProof/>
            <w:webHidden/>
          </w:rPr>
          <w:fldChar w:fldCharType="end"/>
        </w:r>
      </w:hyperlink>
    </w:p>
    <w:p w14:paraId="64279A52" w14:textId="77777777" w:rsidR="000E368D" w:rsidRDefault="00890DD7">
      <w:pPr>
        <w:pStyle w:val="TM5"/>
        <w:tabs>
          <w:tab w:val="right" w:leader="dot" w:pos="9060"/>
        </w:tabs>
        <w:rPr>
          <w:rFonts w:asciiTheme="minorHAnsi" w:hAnsiTheme="minorHAnsi"/>
          <w:b w:val="0"/>
          <w:i w:val="0"/>
          <w:noProof/>
          <w:color w:val="auto"/>
          <w:sz w:val="22"/>
        </w:rPr>
      </w:pPr>
      <w:hyperlink w:anchor="_Toc135140178" w:history="1">
        <w:r w:rsidR="000E368D" w:rsidRPr="00CE52CD">
          <w:rPr>
            <w:rStyle w:val="Lienhypertexte"/>
            <w:noProof/>
          </w:rPr>
          <w:t>III.2.2.2. Diversité de l’offre d’exportation et avantages comparatifs révélés</w:t>
        </w:r>
        <w:r w:rsidR="000E368D">
          <w:rPr>
            <w:noProof/>
            <w:webHidden/>
          </w:rPr>
          <w:tab/>
        </w:r>
        <w:r w:rsidR="000E368D">
          <w:rPr>
            <w:noProof/>
            <w:webHidden/>
          </w:rPr>
          <w:fldChar w:fldCharType="begin"/>
        </w:r>
        <w:r w:rsidR="000E368D">
          <w:rPr>
            <w:noProof/>
            <w:webHidden/>
          </w:rPr>
          <w:instrText xml:space="preserve"> PAGEREF _Toc135140178 \h </w:instrText>
        </w:r>
        <w:r w:rsidR="000E368D">
          <w:rPr>
            <w:noProof/>
            <w:webHidden/>
          </w:rPr>
        </w:r>
        <w:r w:rsidR="000E368D">
          <w:rPr>
            <w:noProof/>
            <w:webHidden/>
          </w:rPr>
          <w:fldChar w:fldCharType="separate"/>
        </w:r>
        <w:r w:rsidR="000E368D">
          <w:rPr>
            <w:noProof/>
            <w:webHidden/>
          </w:rPr>
          <w:t>24</w:t>
        </w:r>
        <w:r w:rsidR="000E368D">
          <w:rPr>
            <w:noProof/>
            <w:webHidden/>
          </w:rPr>
          <w:fldChar w:fldCharType="end"/>
        </w:r>
      </w:hyperlink>
    </w:p>
    <w:p w14:paraId="5E582908" w14:textId="77777777" w:rsidR="000E368D" w:rsidRDefault="00890DD7">
      <w:pPr>
        <w:pStyle w:val="TM5"/>
        <w:tabs>
          <w:tab w:val="right" w:leader="dot" w:pos="9060"/>
        </w:tabs>
        <w:rPr>
          <w:rFonts w:asciiTheme="minorHAnsi" w:hAnsiTheme="minorHAnsi"/>
          <w:b w:val="0"/>
          <w:i w:val="0"/>
          <w:noProof/>
          <w:color w:val="auto"/>
          <w:sz w:val="22"/>
        </w:rPr>
      </w:pPr>
      <w:hyperlink w:anchor="_Toc135140179" w:history="1">
        <w:r w:rsidR="000E368D" w:rsidRPr="00CE52CD">
          <w:rPr>
            <w:rStyle w:val="Lienhypertexte"/>
            <w:noProof/>
          </w:rPr>
          <w:t>III.2.2.3. Chaines de valeur régionales</w:t>
        </w:r>
        <w:r w:rsidR="000E368D">
          <w:rPr>
            <w:noProof/>
            <w:webHidden/>
          </w:rPr>
          <w:tab/>
        </w:r>
        <w:r w:rsidR="000E368D">
          <w:rPr>
            <w:noProof/>
            <w:webHidden/>
          </w:rPr>
          <w:fldChar w:fldCharType="begin"/>
        </w:r>
        <w:r w:rsidR="000E368D">
          <w:rPr>
            <w:noProof/>
            <w:webHidden/>
          </w:rPr>
          <w:instrText xml:space="preserve"> PAGEREF _Toc135140179 \h </w:instrText>
        </w:r>
        <w:r w:rsidR="000E368D">
          <w:rPr>
            <w:noProof/>
            <w:webHidden/>
          </w:rPr>
        </w:r>
        <w:r w:rsidR="000E368D">
          <w:rPr>
            <w:noProof/>
            <w:webHidden/>
          </w:rPr>
          <w:fldChar w:fldCharType="separate"/>
        </w:r>
        <w:r w:rsidR="000E368D">
          <w:rPr>
            <w:noProof/>
            <w:webHidden/>
          </w:rPr>
          <w:t>26</w:t>
        </w:r>
        <w:r w:rsidR="000E368D">
          <w:rPr>
            <w:noProof/>
            <w:webHidden/>
          </w:rPr>
          <w:fldChar w:fldCharType="end"/>
        </w:r>
      </w:hyperlink>
    </w:p>
    <w:p w14:paraId="772B11A9" w14:textId="77777777" w:rsidR="000E368D" w:rsidRDefault="00890DD7">
      <w:pPr>
        <w:pStyle w:val="TM5"/>
        <w:tabs>
          <w:tab w:val="right" w:leader="dot" w:pos="9060"/>
        </w:tabs>
        <w:rPr>
          <w:rFonts w:asciiTheme="minorHAnsi" w:hAnsiTheme="minorHAnsi"/>
          <w:b w:val="0"/>
          <w:i w:val="0"/>
          <w:noProof/>
          <w:color w:val="auto"/>
          <w:sz w:val="22"/>
        </w:rPr>
      </w:pPr>
      <w:hyperlink w:anchor="_Toc135140180" w:history="1">
        <w:r w:rsidR="000E368D" w:rsidRPr="00CE52CD">
          <w:rPr>
            <w:rStyle w:val="Lienhypertexte"/>
            <w:noProof/>
          </w:rPr>
          <w:t>III.2.2.4. Infrastructures</w:t>
        </w:r>
        <w:r w:rsidR="000E368D">
          <w:rPr>
            <w:noProof/>
            <w:webHidden/>
          </w:rPr>
          <w:tab/>
        </w:r>
        <w:r w:rsidR="000E368D">
          <w:rPr>
            <w:noProof/>
            <w:webHidden/>
          </w:rPr>
          <w:fldChar w:fldCharType="begin"/>
        </w:r>
        <w:r w:rsidR="000E368D">
          <w:rPr>
            <w:noProof/>
            <w:webHidden/>
          </w:rPr>
          <w:instrText xml:space="preserve"> PAGEREF _Toc135140180 \h </w:instrText>
        </w:r>
        <w:r w:rsidR="000E368D">
          <w:rPr>
            <w:noProof/>
            <w:webHidden/>
          </w:rPr>
        </w:r>
        <w:r w:rsidR="000E368D">
          <w:rPr>
            <w:noProof/>
            <w:webHidden/>
          </w:rPr>
          <w:fldChar w:fldCharType="separate"/>
        </w:r>
        <w:r w:rsidR="000E368D">
          <w:rPr>
            <w:noProof/>
            <w:webHidden/>
          </w:rPr>
          <w:t>27</w:t>
        </w:r>
        <w:r w:rsidR="000E368D">
          <w:rPr>
            <w:noProof/>
            <w:webHidden/>
          </w:rPr>
          <w:fldChar w:fldCharType="end"/>
        </w:r>
      </w:hyperlink>
    </w:p>
    <w:p w14:paraId="4A5186F7" w14:textId="77777777" w:rsidR="000E368D" w:rsidRDefault="00890DD7">
      <w:pPr>
        <w:pStyle w:val="TM4"/>
        <w:tabs>
          <w:tab w:val="right" w:leader="dot" w:pos="9060"/>
        </w:tabs>
        <w:rPr>
          <w:rFonts w:asciiTheme="minorHAnsi" w:hAnsiTheme="minorHAnsi"/>
          <w:b w:val="0"/>
          <w:i w:val="0"/>
          <w:noProof/>
          <w:color w:val="auto"/>
          <w:sz w:val="22"/>
        </w:rPr>
      </w:pPr>
      <w:hyperlink w:anchor="_Toc135140181" w:history="1">
        <w:r w:rsidR="000E368D" w:rsidRPr="00CE52CD">
          <w:rPr>
            <w:rStyle w:val="Lienhypertexte"/>
            <w:noProof/>
          </w:rPr>
          <w:t>III.2.3. Gestion durable et concertée des ressources naturelles</w:t>
        </w:r>
        <w:r w:rsidR="000E368D">
          <w:rPr>
            <w:noProof/>
            <w:webHidden/>
          </w:rPr>
          <w:tab/>
        </w:r>
        <w:r w:rsidR="000E368D">
          <w:rPr>
            <w:noProof/>
            <w:webHidden/>
          </w:rPr>
          <w:fldChar w:fldCharType="begin"/>
        </w:r>
        <w:r w:rsidR="000E368D">
          <w:rPr>
            <w:noProof/>
            <w:webHidden/>
          </w:rPr>
          <w:instrText xml:space="preserve"> PAGEREF _Toc135140181 \h </w:instrText>
        </w:r>
        <w:r w:rsidR="000E368D">
          <w:rPr>
            <w:noProof/>
            <w:webHidden/>
          </w:rPr>
        </w:r>
        <w:r w:rsidR="000E368D">
          <w:rPr>
            <w:noProof/>
            <w:webHidden/>
          </w:rPr>
          <w:fldChar w:fldCharType="separate"/>
        </w:r>
        <w:r w:rsidR="000E368D">
          <w:rPr>
            <w:noProof/>
            <w:webHidden/>
          </w:rPr>
          <w:t>30</w:t>
        </w:r>
        <w:r w:rsidR="000E368D">
          <w:rPr>
            <w:noProof/>
            <w:webHidden/>
          </w:rPr>
          <w:fldChar w:fldCharType="end"/>
        </w:r>
      </w:hyperlink>
    </w:p>
    <w:p w14:paraId="34B39443" w14:textId="77777777" w:rsidR="000E368D" w:rsidRDefault="00890DD7">
      <w:pPr>
        <w:pStyle w:val="TM2"/>
        <w:tabs>
          <w:tab w:val="right" w:leader="dot" w:pos="9060"/>
        </w:tabs>
        <w:rPr>
          <w:rFonts w:asciiTheme="minorHAnsi" w:eastAsiaTheme="minorEastAsia" w:hAnsiTheme="minorHAnsi"/>
          <w:b w:val="0"/>
          <w:noProof/>
          <w:color w:val="auto"/>
          <w:sz w:val="22"/>
          <w:lang w:eastAsia="fr-FR"/>
        </w:rPr>
      </w:pPr>
      <w:hyperlink w:anchor="_Toc135140182" w:history="1">
        <w:r w:rsidR="000E368D" w:rsidRPr="00CE52CD">
          <w:rPr>
            <w:rStyle w:val="Lienhypertexte"/>
            <w:noProof/>
          </w:rPr>
          <w:t>IV. Enjeux et défis</w:t>
        </w:r>
        <w:r w:rsidR="000E368D">
          <w:rPr>
            <w:noProof/>
            <w:webHidden/>
          </w:rPr>
          <w:tab/>
        </w:r>
        <w:r w:rsidR="000E368D">
          <w:rPr>
            <w:noProof/>
            <w:webHidden/>
          </w:rPr>
          <w:fldChar w:fldCharType="begin"/>
        </w:r>
        <w:r w:rsidR="000E368D">
          <w:rPr>
            <w:noProof/>
            <w:webHidden/>
          </w:rPr>
          <w:instrText xml:space="preserve"> PAGEREF _Toc135140182 \h </w:instrText>
        </w:r>
        <w:r w:rsidR="000E368D">
          <w:rPr>
            <w:noProof/>
            <w:webHidden/>
          </w:rPr>
        </w:r>
        <w:r w:rsidR="000E368D">
          <w:rPr>
            <w:noProof/>
            <w:webHidden/>
          </w:rPr>
          <w:fldChar w:fldCharType="separate"/>
        </w:r>
        <w:r w:rsidR="000E368D">
          <w:rPr>
            <w:noProof/>
            <w:webHidden/>
          </w:rPr>
          <w:t>30</w:t>
        </w:r>
        <w:r w:rsidR="000E368D">
          <w:rPr>
            <w:noProof/>
            <w:webHidden/>
          </w:rPr>
          <w:fldChar w:fldCharType="end"/>
        </w:r>
      </w:hyperlink>
    </w:p>
    <w:p w14:paraId="684BA2B5"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83" w:history="1">
        <w:r w:rsidR="000E368D" w:rsidRPr="00CE52CD">
          <w:rPr>
            <w:rStyle w:val="Lienhypertexte"/>
            <w:noProof/>
          </w:rPr>
          <w:t>IV.1. Les enjeux</w:t>
        </w:r>
        <w:r w:rsidR="000E368D">
          <w:rPr>
            <w:noProof/>
            <w:webHidden/>
          </w:rPr>
          <w:tab/>
        </w:r>
        <w:r w:rsidR="000E368D">
          <w:rPr>
            <w:noProof/>
            <w:webHidden/>
          </w:rPr>
          <w:fldChar w:fldCharType="begin"/>
        </w:r>
        <w:r w:rsidR="000E368D">
          <w:rPr>
            <w:noProof/>
            <w:webHidden/>
          </w:rPr>
          <w:instrText xml:space="preserve"> PAGEREF _Toc135140183 \h </w:instrText>
        </w:r>
        <w:r w:rsidR="000E368D">
          <w:rPr>
            <w:noProof/>
            <w:webHidden/>
          </w:rPr>
        </w:r>
        <w:r w:rsidR="000E368D">
          <w:rPr>
            <w:noProof/>
            <w:webHidden/>
          </w:rPr>
          <w:fldChar w:fldCharType="separate"/>
        </w:r>
        <w:r w:rsidR="000E368D">
          <w:rPr>
            <w:noProof/>
            <w:webHidden/>
          </w:rPr>
          <w:t>31</w:t>
        </w:r>
        <w:r w:rsidR="000E368D">
          <w:rPr>
            <w:noProof/>
            <w:webHidden/>
          </w:rPr>
          <w:fldChar w:fldCharType="end"/>
        </w:r>
      </w:hyperlink>
    </w:p>
    <w:p w14:paraId="38ADE7D3"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84" w:history="1">
        <w:r w:rsidR="000E368D" w:rsidRPr="00CE52CD">
          <w:rPr>
            <w:rStyle w:val="Lienhypertexte"/>
            <w:noProof/>
          </w:rPr>
          <w:t xml:space="preserve">IV.2. </w:t>
        </w:r>
        <w:r w:rsidR="000E368D" w:rsidRPr="00CE52CD">
          <w:rPr>
            <w:rStyle w:val="Lienhypertexte"/>
            <w:noProof/>
            <w:w w:val="105"/>
          </w:rPr>
          <w:t>Les défis</w:t>
        </w:r>
        <w:r w:rsidR="000E368D">
          <w:rPr>
            <w:noProof/>
            <w:webHidden/>
          </w:rPr>
          <w:tab/>
        </w:r>
        <w:r w:rsidR="000E368D">
          <w:rPr>
            <w:noProof/>
            <w:webHidden/>
          </w:rPr>
          <w:fldChar w:fldCharType="begin"/>
        </w:r>
        <w:r w:rsidR="000E368D">
          <w:rPr>
            <w:noProof/>
            <w:webHidden/>
          </w:rPr>
          <w:instrText xml:space="preserve"> PAGEREF _Toc135140184 \h </w:instrText>
        </w:r>
        <w:r w:rsidR="000E368D">
          <w:rPr>
            <w:noProof/>
            <w:webHidden/>
          </w:rPr>
        </w:r>
        <w:r w:rsidR="000E368D">
          <w:rPr>
            <w:noProof/>
            <w:webHidden/>
          </w:rPr>
          <w:fldChar w:fldCharType="separate"/>
        </w:r>
        <w:r w:rsidR="000E368D">
          <w:rPr>
            <w:noProof/>
            <w:webHidden/>
          </w:rPr>
          <w:t>31</w:t>
        </w:r>
        <w:r w:rsidR="000E368D">
          <w:rPr>
            <w:noProof/>
            <w:webHidden/>
          </w:rPr>
          <w:fldChar w:fldCharType="end"/>
        </w:r>
      </w:hyperlink>
    </w:p>
    <w:p w14:paraId="02A35CFA" w14:textId="77777777" w:rsidR="000E368D" w:rsidRDefault="00890DD7">
      <w:pPr>
        <w:pStyle w:val="TM1"/>
        <w:rPr>
          <w:rFonts w:asciiTheme="minorHAnsi" w:eastAsiaTheme="minorEastAsia" w:hAnsiTheme="minorHAnsi"/>
          <w:noProof/>
          <w:color w:val="auto"/>
          <w:sz w:val="22"/>
          <w:lang w:eastAsia="fr-FR"/>
        </w:rPr>
      </w:pPr>
      <w:hyperlink w:anchor="_Toc135140185" w:history="1">
        <w:r w:rsidR="000E368D" w:rsidRPr="00CE52CD">
          <w:rPr>
            <w:rStyle w:val="Lienhypertexte"/>
            <w:noProof/>
          </w:rPr>
          <w:t>PARTIE II : LA STATEGIE</w:t>
        </w:r>
        <w:r w:rsidR="000E368D">
          <w:rPr>
            <w:noProof/>
            <w:webHidden/>
          </w:rPr>
          <w:tab/>
        </w:r>
        <w:r w:rsidR="000E368D">
          <w:rPr>
            <w:noProof/>
            <w:webHidden/>
          </w:rPr>
          <w:fldChar w:fldCharType="begin"/>
        </w:r>
        <w:r w:rsidR="000E368D">
          <w:rPr>
            <w:noProof/>
            <w:webHidden/>
          </w:rPr>
          <w:instrText xml:space="preserve"> PAGEREF _Toc135140185 \h </w:instrText>
        </w:r>
        <w:r w:rsidR="000E368D">
          <w:rPr>
            <w:noProof/>
            <w:webHidden/>
          </w:rPr>
        </w:r>
        <w:r w:rsidR="000E368D">
          <w:rPr>
            <w:noProof/>
            <w:webHidden/>
          </w:rPr>
          <w:fldChar w:fldCharType="separate"/>
        </w:r>
        <w:r w:rsidR="000E368D">
          <w:rPr>
            <w:noProof/>
            <w:webHidden/>
          </w:rPr>
          <w:t>32</w:t>
        </w:r>
        <w:r w:rsidR="000E368D">
          <w:rPr>
            <w:noProof/>
            <w:webHidden/>
          </w:rPr>
          <w:fldChar w:fldCharType="end"/>
        </w:r>
      </w:hyperlink>
    </w:p>
    <w:p w14:paraId="503295B2" w14:textId="77777777" w:rsidR="000E368D" w:rsidRDefault="00890DD7">
      <w:pPr>
        <w:pStyle w:val="TM2"/>
        <w:tabs>
          <w:tab w:val="right" w:leader="dot" w:pos="9060"/>
        </w:tabs>
        <w:rPr>
          <w:rFonts w:asciiTheme="minorHAnsi" w:eastAsiaTheme="minorEastAsia" w:hAnsiTheme="minorHAnsi"/>
          <w:b w:val="0"/>
          <w:noProof/>
          <w:color w:val="auto"/>
          <w:sz w:val="22"/>
          <w:lang w:eastAsia="fr-FR"/>
        </w:rPr>
      </w:pPr>
      <w:hyperlink w:anchor="_Toc135140186" w:history="1">
        <w:r w:rsidR="000E368D" w:rsidRPr="00CE52CD">
          <w:rPr>
            <w:rStyle w:val="Lienhypertexte"/>
            <w:noProof/>
            <w:w w:val="105"/>
          </w:rPr>
          <w:t>V. LE CADRE STRATEGIQUE</w:t>
        </w:r>
        <w:r w:rsidR="000E368D">
          <w:rPr>
            <w:noProof/>
            <w:webHidden/>
          </w:rPr>
          <w:tab/>
        </w:r>
        <w:r w:rsidR="000E368D">
          <w:rPr>
            <w:noProof/>
            <w:webHidden/>
          </w:rPr>
          <w:fldChar w:fldCharType="begin"/>
        </w:r>
        <w:r w:rsidR="000E368D">
          <w:rPr>
            <w:noProof/>
            <w:webHidden/>
          </w:rPr>
          <w:instrText xml:space="preserve"> PAGEREF _Toc135140186 \h </w:instrText>
        </w:r>
        <w:r w:rsidR="000E368D">
          <w:rPr>
            <w:noProof/>
            <w:webHidden/>
          </w:rPr>
        </w:r>
        <w:r w:rsidR="000E368D">
          <w:rPr>
            <w:noProof/>
            <w:webHidden/>
          </w:rPr>
          <w:fldChar w:fldCharType="separate"/>
        </w:r>
        <w:r w:rsidR="000E368D">
          <w:rPr>
            <w:noProof/>
            <w:webHidden/>
          </w:rPr>
          <w:t>33</w:t>
        </w:r>
        <w:r w:rsidR="000E368D">
          <w:rPr>
            <w:noProof/>
            <w:webHidden/>
          </w:rPr>
          <w:fldChar w:fldCharType="end"/>
        </w:r>
      </w:hyperlink>
    </w:p>
    <w:p w14:paraId="3FA5B452"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87" w:history="1">
        <w:r w:rsidR="000E368D" w:rsidRPr="00CE52CD">
          <w:rPr>
            <w:rStyle w:val="Lienhypertexte"/>
            <w:noProof/>
          </w:rPr>
          <w:t>V.1. La vision</w:t>
        </w:r>
        <w:r w:rsidR="000E368D">
          <w:rPr>
            <w:noProof/>
            <w:webHidden/>
          </w:rPr>
          <w:tab/>
        </w:r>
        <w:r w:rsidR="000E368D">
          <w:rPr>
            <w:noProof/>
            <w:webHidden/>
          </w:rPr>
          <w:fldChar w:fldCharType="begin"/>
        </w:r>
        <w:r w:rsidR="000E368D">
          <w:rPr>
            <w:noProof/>
            <w:webHidden/>
          </w:rPr>
          <w:instrText xml:space="preserve"> PAGEREF _Toc135140187 \h </w:instrText>
        </w:r>
        <w:r w:rsidR="000E368D">
          <w:rPr>
            <w:noProof/>
            <w:webHidden/>
          </w:rPr>
        </w:r>
        <w:r w:rsidR="000E368D">
          <w:rPr>
            <w:noProof/>
            <w:webHidden/>
          </w:rPr>
          <w:fldChar w:fldCharType="separate"/>
        </w:r>
        <w:r w:rsidR="000E368D">
          <w:rPr>
            <w:noProof/>
            <w:webHidden/>
          </w:rPr>
          <w:t>33</w:t>
        </w:r>
        <w:r w:rsidR="000E368D">
          <w:rPr>
            <w:noProof/>
            <w:webHidden/>
          </w:rPr>
          <w:fldChar w:fldCharType="end"/>
        </w:r>
      </w:hyperlink>
    </w:p>
    <w:p w14:paraId="5303726C"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88" w:history="1">
        <w:r w:rsidR="000E368D" w:rsidRPr="00CE52CD">
          <w:rPr>
            <w:rStyle w:val="Lienhypertexte"/>
            <w:noProof/>
          </w:rPr>
          <w:t>V.2. Objectif général</w:t>
        </w:r>
        <w:r w:rsidR="000E368D">
          <w:rPr>
            <w:noProof/>
            <w:webHidden/>
          </w:rPr>
          <w:tab/>
        </w:r>
        <w:r w:rsidR="000E368D">
          <w:rPr>
            <w:noProof/>
            <w:webHidden/>
          </w:rPr>
          <w:fldChar w:fldCharType="begin"/>
        </w:r>
        <w:r w:rsidR="000E368D">
          <w:rPr>
            <w:noProof/>
            <w:webHidden/>
          </w:rPr>
          <w:instrText xml:space="preserve"> PAGEREF _Toc135140188 \h </w:instrText>
        </w:r>
        <w:r w:rsidR="000E368D">
          <w:rPr>
            <w:noProof/>
            <w:webHidden/>
          </w:rPr>
        </w:r>
        <w:r w:rsidR="000E368D">
          <w:rPr>
            <w:noProof/>
            <w:webHidden/>
          </w:rPr>
          <w:fldChar w:fldCharType="separate"/>
        </w:r>
        <w:r w:rsidR="000E368D">
          <w:rPr>
            <w:noProof/>
            <w:webHidden/>
          </w:rPr>
          <w:t>33</w:t>
        </w:r>
        <w:r w:rsidR="000E368D">
          <w:rPr>
            <w:noProof/>
            <w:webHidden/>
          </w:rPr>
          <w:fldChar w:fldCharType="end"/>
        </w:r>
      </w:hyperlink>
    </w:p>
    <w:p w14:paraId="464981C2"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89" w:history="1">
        <w:r w:rsidR="000E368D" w:rsidRPr="00CE52CD">
          <w:rPr>
            <w:rStyle w:val="Lienhypertexte"/>
            <w:noProof/>
          </w:rPr>
          <w:t>V.3. Axes stratégiques</w:t>
        </w:r>
        <w:r w:rsidR="000E368D">
          <w:rPr>
            <w:noProof/>
            <w:webHidden/>
          </w:rPr>
          <w:tab/>
        </w:r>
        <w:r w:rsidR="000E368D">
          <w:rPr>
            <w:noProof/>
            <w:webHidden/>
          </w:rPr>
          <w:fldChar w:fldCharType="begin"/>
        </w:r>
        <w:r w:rsidR="000E368D">
          <w:rPr>
            <w:noProof/>
            <w:webHidden/>
          </w:rPr>
          <w:instrText xml:space="preserve"> PAGEREF _Toc135140189 \h </w:instrText>
        </w:r>
        <w:r w:rsidR="000E368D">
          <w:rPr>
            <w:noProof/>
            <w:webHidden/>
          </w:rPr>
        </w:r>
        <w:r w:rsidR="000E368D">
          <w:rPr>
            <w:noProof/>
            <w:webHidden/>
          </w:rPr>
          <w:fldChar w:fldCharType="separate"/>
        </w:r>
        <w:r w:rsidR="000E368D">
          <w:rPr>
            <w:noProof/>
            <w:webHidden/>
          </w:rPr>
          <w:t>33</w:t>
        </w:r>
        <w:r w:rsidR="000E368D">
          <w:rPr>
            <w:noProof/>
            <w:webHidden/>
          </w:rPr>
          <w:fldChar w:fldCharType="end"/>
        </w:r>
      </w:hyperlink>
    </w:p>
    <w:p w14:paraId="0D03D83B" w14:textId="77777777" w:rsidR="000E368D" w:rsidRDefault="00890DD7">
      <w:pPr>
        <w:pStyle w:val="TM4"/>
        <w:tabs>
          <w:tab w:val="right" w:leader="dot" w:pos="9060"/>
        </w:tabs>
        <w:rPr>
          <w:rFonts w:asciiTheme="minorHAnsi" w:hAnsiTheme="minorHAnsi"/>
          <w:b w:val="0"/>
          <w:i w:val="0"/>
          <w:noProof/>
          <w:color w:val="auto"/>
          <w:sz w:val="22"/>
        </w:rPr>
      </w:pPr>
      <w:hyperlink w:anchor="_Toc135140190" w:history="1">
        <w:r w:rsidR="000E368D" w:rsidRPr="00CE52CD">
          <w:rPr>
            <w:rStyle w:val="Lienhypertexte"/>
            <w:noProof/>
          </w:rPr>
          <w:t>V.3.1. Axe 1 : Gouvernance de l’intégration régionale</w:t>
        </w:r>
        <w:r w:rsidR="000E368D">
          <w:rPr>
            <w:noProof/>
            <w:webHidden/>
          </w:rPr>
          <w:tab/>
        </w:r>
        <w:r w:rsidR="000E368D">
          <w:rPr>
            <w:noProof/>
            <w:webHidden/>
          </w:rPr>
          <w:fldChar w:fldCharType="begin"/>
        </w:r>
        <w:r w:rsidR="000E368D">
          <w:rPr>
            <w:noProof/>
            <w:webHidden/>
          </w:rPr>
          <w:instrText xml:space="preserve"> PAGEREF _Toc135140190 \h </w:instrText>
        </w:r>
        <w:r w:rsidR="000E368D">
          <w:rPr>
            <w:noProof/>
            <w:webHidden/>
          </w:rPr>
        </w:r>
        <w:r w:rsidR="000E368D">
          <w:rPr>
            <w:noProof/>
            <w:webHidden/>
          </w:rPr>
          <w:fldChar w:fldCharType="separate"/>
        </w:r>
        <w:r w:rsidR="000E368D">
          <w:rPr>
            <w:noProof/>
            <w:webHidden/>
          </w:rPr>
          <w:t>33</w:t>
        </w:r>
        <w:r w:rsidR="000E368D">
          <w:rPr>
            <w:noProof/>
            <w:webHidden/>
          </w:rPr>
          <w:fldChar w:fldCharType="end"/>
        </w:r>
      </w:hyperlink>
    </w:p>
    <w:p w14:paraId="678B005C" w14:textId="77777777" w:rsidR="000E368D" w:rsidRDefault="00890DD7">
      <w:pPr>
        <w:pStyle w:val="TM4"/>
        <w:tabs>
          <w:tab w:val="right" w:leader="dot" w:pos="9060"/>
        </w:tabs>
        <w:rPr>
          <w:rFonts w:asciiTheme="minorHAnsi" w:hAnsiTheme="minorHAnsi"/>
          <w:b w:val="0"/>
          <w:i w:val="0"/>
          <w:noProof/>
          <w:color w:val="auto"/>
          <w:sz w:val="22"/>
        </w:rPr>
      </w:pPr>
      <w:hyperlink w:anchor="_Toc135140191" w:history="1">
        <w:r w:rsidR="000E368D" w:rsidRPr="00CE52CD">
          <w:rPr>
            <w:rStyle w:val="Lienhypertexte"/>
            <w:noProof/>
          </w:rPr>
          <w:t>V.3.2. Axe 2 : Compétitivité et développement inclusif</w:t>
        </w:r>
        <w:r w:rsidR="000E368D">
          <w:rPr>
            <w:noProof/>
            <w:webHidden/>
          </w:rPr>
          <w:tab/>
        </w:r>
        <w:r w:rsidR="000E368D">
          <w:rPr>
            <w:noProof/>
            <w:webHidden/>
          </w:rPr>
          <w:fldChar w:fldCharType="begin"/>
        </w:r>
        <w:r w:rsidR="000E368D">
          <w:rPr>
            <w:noProof/>
            <w:webHidden/>
          </w:rPr>
          <w:instrText xml:space="preserve"> PAGEREF _Toc135140191 \h </w:instrText>
        </w:r>
        <w:r w:rsidR="000E368D">
          <w:rPr>
            <w:noProof/>
            <w:webHidden/>
          </w:rPr>
        </w:r>
        <w:r w:rsidR="000E368D">
          <w:rPr>
            <w:noProof/>
            <w:webHidden/>
          </w:rPr>
          <w:fldChar w:fldCharType="separate"/>
        </w:r>
        <w:r w:rsidR="000E368D">
          <w:rPr>
            <w:noProof/>
            <w:webHidden/>
          </w:rPr>
          <w:t>34</w:t>
        </w:r>
        <w:r w:rsidR="000E368D">
          <w:rPr>
            <w:noProof/>
            <w:webHidden/>
          </w:rPr>
          <w:fldChar w:fldCharType="end"/>
        </w:r>
      </w:hyperlink>
    </w:p>
    <w:p w14:paraId="5A99BAB6" w14:textId="77777777" w:rsidR="000E368D" w:rsidRDefault="00890DD7">
      <w:pPr>
        <w:pStyle w:val="TM2"/>
        <w:tabs>
          <w:tab w:val="right" w:leader="dot" w:pos="9060"/>
        </w:tabs>
        <w:rPr>
          <w:rFonts w:asciiTheme="minorHAnsi" w:eastAsiaTheme="minorEastAsia" w:hAnsiTheme="minorHAnsi"/>
          <w:b w:val="0"/>
          <w:noProof/>
          <w:color w:val="auto"/>
          <w:sz w:val="22"/>
          <w:lang w:eastAsia="fr-FR"/>
        </w:rPr>
      </w:pPr>
      <w:hyperlink w:anchor="_Toc135140192" w:history="1">
        <w:r w:rsidR="000E368D" w:rsidRPr="00CE52CD">
          <w:rPr>
            <w:rStyle w:val="Lienhypertexte"/>
            <w:noProof/>
          </w:rPr>
          <w:t>VI. MISE EN ŒUVRE, COORDINATION ET DISPOSITIF DE SUIVI-EVALUATION</w:t>
        </w:r>
        <w:r w:rsidR="000E368D">
          <w:rPr>
            <w:noProof/>
            <w:webHidden/>
          </w:rPr>
          <w:tab/>
        </w:r>
        <w:r w:rsidR="000E368D">
          <w:rPr>
            <w:noProof/>
            <w:webHidden/>
          </w:rPr>
          <w:fldChar w:fldCharType="begin"/>
        </w:r>
        <w:r w:rsidR="000E368D">
          <w:rPr>
            <w:noProof/>
            <w:webHidden/>
          </w:rPr>
          <w:instrText xml:space="preserve"> PAGEREF _Toc135140192 \h </w:instrText>
        </w:r>
        <w:r w:rsidR="000E368D">
          <w:rPr>
            <w:noProof/>
            <w:webHidden/>
          </w:rPr>
        </w:r>
        <w:r w:rsidR="000E368D">
          <w:rPr>
            <w:noProof/>
            <w:webHidden/>
          </w:rPr>
          <w:fldChar w:fldCharType="separate"/>
        </w:r>
        <w:r w:rsidR="000E368D">
          <w:rPr>
            <w:noProof/>
            <w:webHidden/>
          </w:rPr>
          <w:t>35</w:t>
        </w:r>
        <w:r w:rsidR="000E368D">
          <w:rPr>
            <w:noProof/>
            <w:webHidden/>
          </w:rPr>
          <w:fldChar w:fldCharType="end"/>
        </w:r>
      </w:hyperlink>
    </w:p>
    <w:p w14:paraId="569CCA88"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93" w:history="1">
        <w:r w:rsidR="000E368D" w:rsidRPr="00CE52CD">
          <w:rPr>
            <w:rStyle w:val="Lienhypertexte"/>
            <w:noProof/>
          </w:rPr>
          <w:t>VI.1. Mise en œuvre et dispositif de coordination</w:t>
        </w:r>
        <w:r w:rsidR="000E368D">
          <w:rPr>
            <w:noProof/>
            <w:webHidden/>
          </w:rPr>
          <w:tab/>
        </w:r>
        <w:r w:rsidR="000E368D">
          <w:rPr>
            <w:noProof/>
            <w:webHidden/>
          </w:rPr>
          <w:fldChar w:fldCharType="begin"/>
        </w:r>
        <w:r w:rsidR="000E368D">
          <w:rPr>
            <w:noProof/>
            <w:webHidden/>
          </w:rPr>
          <w:instrText xml:space="preserve"> PAGEREF _Toc135140193 \h </w:instrText>
        </w:r>
        <w:r w:rsidR="000E368D">
          <w:rPr>
            <w:noProof/>
            <w:webHidden/>
          </w:rPr>
        </w:r>
        <w:r w:rsidR="000E368D">
          <w:rPr>
            <w:noProof/>
            <w:webHidden/>
          </w:rPr>
          <w:fldChar w:fldCharType="separate"/>
        </w:r>
        <w:r w:rsidR="000E368D">
          <w:rPr>
            <w:noProof/>
            <w:webHidden/>
          </w:rPr>
          <w:t>35</w:t>
        </w:r>
        <w:r w:rsidR="000E368D">
          <w:rPr>
            <w:noProof/>
            <w:webHidden/>
          </w:rPr>
          <w:fldChar w:fldCharType="end"/>
        </w:r>
      </w:hyperlink>
    </w:p>
    <w:p w14:paraId="5812AB41" w14:textId="77777777" w:rsidR="000E368D" w:rsidRDefault="00890DD7">
      <w:pPr>
        <w:pStyle w:val="TM4"/>
        <w:tabs>
          <w:tab w:val="right" w:leader="dot" w:pos="9060"/>
        </w:tabs>
        <w:rPr>
          <w:rFonts w:asciiTheme="minorHAnsi" w:hAnsiTheme="minorHAnsi"/>
          <w:b w:val="0"/>
          <w:i w:val="0"/>
          <w:noProof/>
          <w:color w:val="auto"/>
          <w:sz w:val="22"/>
        </w:rPr>
      </w:pPr>
      <w:hyperlink w:anchor="_Toc135140194" w:history="1">
        <w:r w:rsidR="000E368D" w:rsidRPr="00CE52CD">
          <w:rPr>
            <w:rStyle w:val="Lienhypertexte"/>
            <w:noProof/>
          </w:rPr>
          <w:t>VI.1.1. Mise en œuvre</w:t>
        </w:r>
        <w:r w:rsidR="000E368D">
          <w:rPr>
            <w:noProof/>
            <w:webHidden/>
          </w:rPr>
          <w:tab/>
        </w:r>
        <w:r w:rsidR="000E368D">
          <w:rPr>
            <w:noProof/>
            <w:webHidden/>
          </w:rPr>
          <w:fldChar w:fldCharType="begin"/>
        </w:r>
        <w:r w:rsidR="000E368D">
          <w:rPr>
            <w:noProof/>
            <w:webHidden/>
          </w:rPr>
          <w:instrText xml:space="preserve"> PAGEREF _Toc135140194 \h </w:instrText>
        </w:r>
        <w:r w:rsidR="000E368D">
          <w:rPr>
            <w:noProof/>
            <w:webHidden/>
          </w:rPr>
        </w:r>
        <w:r w:rsidR="000E368D">
          <w:rPr>
            <w:noProof/>
            <w:webHidden/>
          </w:rPr>
          <w:fldChar w:fldCharType="separate"/>
        </w:r>
        <w:r w:rsidR="000E368D">
          <w:rPr>
            <w:noProof/>
            <w:webHidden/>
          </w:rPr>
          <w:t>35</w:t>
        </w:r>
        <w:r w:rsidR="000E368D">
          <w:rPr>
            <w:noProof/>
            <w:webHidden/>
          </w:rPr>
          <w:fldChar w:fldCharType="end"/>
        </w:r>
      </w:hyperlink>
    </w:p>
    <w:p w14:paraId="5F40D35F" w14:textId="77777777" w:rsidR="000E368D" w:rsidRDefault="00890DD7">
      <w:pPr>
        <w:pStyle w:val="TM4"/>
        <w:tabs>
          <w:tab w:val="right" w:leader="dot" w:pos="9060"/>
        </w:tabs>
        <w:rPr>
          <w:rFonts w:asciiTheme="minorHAnsi" w:hAnsiTheme="minorHAnsi"/>
          <w:b w:val="0"/>
          <w:i w:val="0"/>
          <w:noProof/>
          <w:color w:val="auto"/>
          <w:sz w:val="22"/>
        </w:rPr>
      </w:pPr>
      <w:hyperlink w:anchor="_Toc135140195" w:history="1">
        <w:r w:rsidR="000E368D" w:rsidRPr="00CE52CD">
          <w:rPr>
            <w:rStyle w:val="Lienhypertexte"/>
            <w:noProof/>
          </w:rPr>
          <w:t>VI.1.2. Dispositif de coordination</w:t>
        </w:r>
        <w:r w:rsidR="000E368D">
          <w:rPr>
            <w:noProof/>
            <w:webHidden/>
          </w:rPr>
          <w:tab/>
        </w:r>
        <w:r w:rsidR="000E368D">
          <w:rPr>
            <w:noProof/>
            <w:webHidden/>
          </w:rPr>
          <w:fldChar w:fldCharType="begin"/>
        </w:r>
        <w:r w:rsidR="000E368D">
          <w:rPr>
            <w:noProof/>
            <w:webHidden/>
          </w:rPr>
          <w:instrText xml:space="preserve"> PAGEREF _Toc135140195 \h </w:instrText>
        </w:r>
        <w:r w:rsidR="000E368D">
          <w:rPr>
            <w:noProof/>
            <w:webHidden/>
          </w:rPr>
        </w:r>
        <w:r w:rsidR="000E368D">
          <w:rPr>
            <w:noProof/>
            <w:webHidden/>
          </w:rPr>
          <w:fldChar w:fldCharType="separate"/>
        </w:r>
        <w:r w:rsidR="000E368D">
          <w:rPr>
            <w:noProof/>
            <w:webHidden/>
          </w:rPr>
          <w:t>35</w:t>
        </w:r>
        <w:r w:rsidR="000E368D">
          <w:rPr>
            <w:noProof/>
            <w:webHidden/>
          </w:rPr>
          <w:fldChar w:fldCharType="end"/>
        </w:r>
      </w:hyperlink>
    </w:p>
    <w:p w14:paraId="54F9DFE4" w14:textId="77777777" w:rsidR="000E368D" w:rsidRDefault="00890DD7">
      <w:pPr>
        <w:pStyle w:val="TM5"/>
        <w:tabs>
          <w:tab w:val="right" w:leader="dot" w:pos="9060"/>
        </w:tabs>
        <w:rPr>
          <w:rFonts w:asciiTheme="minorHAnsi" w:hAnsiTheme="minorHAnsi"/>
          <w:b w:val="0"/>
          <w:i w:val="0"/>
          <w:noProof/>
          <w:color w:val="auto"/>
          <w:sz w:val="22"/>
        </w:rPr>
      </w:pPr>
      <w:hyperlink w:anchor="_Toc135140196" w:history="1">
        <w:r w:rsidR="000E368D" w:rsidRPr="00CE52CD">
          <w:rPr>
            <w:rStyle w:val="Lienhypertexte"/>
            <w:noProof/>
          </w:rPr>
          <w:t>VI.1.2.1. Le Conseil national sur l’Intégration</w:t>
        </w:r>
        <w:r w:rsidR="000E368D">
          <w:rPr>
            <w:noProof/>
            <w:webHidden/>
          </w:rPr>
          <w:tab/>
        </w:r>
        <w:r w:rsidR="000E368D">
          <w:rPr>
            <w:noProof/>
            <w:webHidden/>
          </w:rPr>
          <w:fldChar w:fldCharType="begin"/>
        </w:r>
        <w:r w:rsidR="000E368D">
          <w:rPr>
            <w:noProof/>
            <w:webHidden/>
          </w:rPr>
          <w:instrText xml:space="preserve"> PAGEREF _Toc135140196 \h </w:instrText>
        </w:r>
        <w:r w:rsidR="000E368D">
          <w:rPr>
            <w:noProof/>
            <w:webHidden/>
          </w:rPr>
        </w:r>
        <w:r w:rsidR="000E368D">
          <w:rPr>
            <w:noProof/>
            <w:webHidden/>
          </w:rPr>
          <w:fldChar w:fldCharType="separate"/>
        </w:r>
        <w:r w:rsidR="000E368D">
          <w:rPr>
            <w:noProof/>
            <w:webHidden/>
          </w:rPr>
          <w:t>35</w:t>
        </w:r>
        <w:r w:rsidR="000E368D">
          <w:rPr>
            <w:noProof/>
            <w:webHidden/>
          </w:rPr>
          <w:fldChar w:fldCharType="end"/>
        </w:r>
      </w:hyperlink>
    </w:p>
    <w:p w14:paraId="110F1BC0" w14:textId="77777777" w:rsidR="000E368D" w:rsidRDefault="00890DD7">
      <w:pPr>
        <w:pStyle w:val="TM5"/>
        <w:tabs>
          <w:tab w:val="right" w:leader="dot" w:pos="9060"/>
        </w:tabs>
        <w:rPr>
          <w:rFonts w:asciiTheme="minorHAnsi" w:hAnsiTheme="minorHAnsi"/>
          <w:b w:val="0"/>
          <w:i w:val="0"/>
          <w:noProof/>
          <w:color w:val="auto"/>
          <w:sz w:val="22"/>
        </w:rPr>
      </w:pPr>
      <w:hyperlink w:anchor="_Toc135140197" w:history="1">
        <w:r w:rsidR="000E368D" w:rsidRPr="00CE52CD">
          <w:rPr>
            <w:rStyle w:val="Lienhypertexte"/>
            <w:noProof/>
          </w:rPr>
          <w:t>VI.1.2.2. Comité Technique de Suivi (CTS)</w:t>
        </w:r>
        <w:r w:rsidR="000E368D">
          <w:rPr>
            <w:noProof/>
            <w:webHidden/>
          </w:rPr>
          <w:tab/>
        </w:r>
        <w:r w:rsidR="000E368D">
          <w:rPr>
            <w:noProof/>
            <w:webHidden/>
          </w:rPr>
          <w:fldChar w:fldCharType="begin"/>
        </w:r>
        <w:r w:rsidR="000E368D">
          <w:rPr>
            <w:noProof/>
            <w:webHidden/>
          </w:rPr>
          <w:instrText xml:space="preserve"> PAGEREF _Toc135140197 \h </w:instrText>
        </w:r>
        <w:r w:rsidR="000E368D">
          <w:rPr>
            <w:noProof/>
            <w:webHidden/>
          </w:rPr>
        </w:r>
        <w:r w:rsidR="000E368D">
          <w:rPr>
            <w:noProof/>
            <w:webHidden/>
          </w:rPr>
          <w:fldChar w:fldCharType="separate"/>
        </w:r>
        <w:r w:rsidR="000E368D">
          <w:rPr>
            <w:noProof/>
            <w:webHidden/>
          </w:rPr>
          <w:t>36</w:t>
        </w:r>
        <w:r w:rsidR="000E368D">
          <w:rPr>
            <w:noProof/>
            <w:webHidden/>
          </w:rPr>
          <w:fldChar w:fldCharType="end"/>
        </w:r>
      </w:hyperlink>
    </w:p>
    <w:p w14:paraId="0BA85A23" w14:textId="77777777" w:rsidR="000E368D" w:rsidRDefault="00890DD7">
      <w:pPr>
        <w:pStyle w:val="TM5"/>
        <w:tabs>
          <w:tab w:val="right" w:leader="dot" w:pos="9060"/>
        </w:tabs>
        <w:rPr>
          <w:rFonts w:asciiTheme="minorHAnsi" w:hAnsiTheme="minorHAnsi"/>
          <w:b w:val="0"/>
          <w:i w:val="0"/>
          <w:noProof/>
          <w:color w:val="auto"/>
          <w:sz w:val="22"/>
        </w:rPr>
      </w:pPr>
      <w:hyperlink w:anchor="_Toc135140198" w:history="1">
        <w:r w:rsidR="000E368D" w:rsidRPr="00CE52CD">
          <w:rPr>
            <w:rStyle w:val="Lienhypertexte"/>
            <w:noProof/>
          </w:rPr>
          <w:t>VI.1.2.3. Les Comités techniques nationaux</w:t>
        </w:r>
        <w:r w:rsidR="000E368D">
          <w:rPr>
            <w:noProof/>
            <w:webHidden/>
          </w:rPr>
          <w:tab/>
        </w:r>
        <w:r w:rsidR="000E368D">
          <w:rPr>
            <w:noProof/>
            <w:webHidden/>
          </w:rPr>
          <w:fldChar w:fldCharType="begin"/>
        </w:r>
        <w:r w:rsidR="000E368D">
          <w:rPr>
            <w:noProof/>
            <w:webHidden/>
          </w:rPr>
          <w:instrText xml:space="preserve"> PAGEREF _Toc135140198 \h </w:instrText>
        </w:r>
        <w:r w:rsidR="000E368D">
          <w:rPr>
            <w:noProof/>
            <w:webHidden/>
          </w:rPr>
        </w:r>
        <w:r w:rsidR="000E368D">
          <w:rPr>
            <w:noProof/>
            <w:webHidden/>
          </w:rPr>
          <w:fldChar w:fldCharType="separate"/>
        </w:r>
        <w:r w:rsidR="000E368D">
          <w:rPr>
            <w:noProof/>
            <w:webHidden/>
          </w:rPr>
          <w:t>37</w:t>
        </w:r>
        <w:r w:rsidR="000E368D">
          <w:rPr>
            <w:noProof/>
            <w:webHidden/>
          </w:rPr>
          <w:fldChar w:fldCharType="end"/>
        </w:r>
      </w:hyperlink>
    </w:p>
    <w:p w14:paraId="5496ABD5"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199" w:history="1">
        <w:r w:rsidR="000E368D" w:rsidRPr="00CE52CD">
          <w:rPr>
            <w:rStyle w:val="Lienhypertexte"/>
            <w:noProof/>
          </w:rPr>
          <w:t>VI.2. Suivi et évaluation</w:t>
        </w:r>
        <w:r w:rsidR="000E368D">
          <w:rPr>
            <w:noProof/>
            <w:webHidden/>
          </w:rPr>
          <w:tab/>
        </w:r>
        <w:r w:rsidR="000E368D">
          <w:rPr>
            <w:noProof/>
            <w:webHidden/>
          </w:rPr>
          <w:fldChar w:fldCharType="begin"/>
        </w:r>
        <w:r w:rsidR="000E368D">
          <w:rPr>
            <w:noProof/>
            <w:webHidden/>
          </w:rPr>
          <w:instrText xml:space="preserve"> PAGEREF _Toc135140199 \h </w:instrText>
        </w:r>
        <w:r w:rsidR="000E368D">
          <w:rPr>
            <w:noProof/>
            <w:webHidden/>
          </w:rPr>
        </w:r>
        <w:r w:rsidR="000E368D">
          <w:rPr>
            <w:noProof/>
            <w:webHidden/>
          </w:rPr>
          <w:fldChar w:fldCharType="separate"/>
        </w:r>
        <w:r w:rsidR="000E368D">
          <w:rPr>
            <w:noProof/>
            <w:webHidden/>
          </w:rPr>
          <w:t>37</w:t>
        </w:r>
        <w:r w:rsidR="000E368D">
          <w:rPr>
            <w:noProof/>
            <w:webHidden/>
          </w:rPr>
          <w:fldChar w:fldCharType="end"/>
        </w:r>
      </w:hyperlink>
    </w:p>
    <w:p w14:paraId="334AF048" w14:textId="77777777" w:rsidR="000E368D" w:rsidRDefault="00890DD7">
      <w:pPr>
        <w:pStyle w:val="TM2"/>
        <w:tabs>
          <w:tab w:val="right" w:leader="dot" w:pos="9060"/>
        </w:tabs>
        <w:rPr>
          <w:rFonts w:asciiTheme="minorHAnsi" w:eastAsiaTheme="minorEastAsia" w:hAnsiTheme="minorHAnsi"/>
          <w:b w:val="0"/>
          <w:noProof/>
          <w:color w:val="auto"/>
          <w:sz w:val="22"/>
          <w:lang w:eastAsia="fr-FR"/>
        </w:rPr>
      </w:pPr>
      <w:hyperlink w:anchor="_Toc135140200" w:history="1">
        <w:r w:rsidR="000E368D" w:rsidRPr="00CE52CD">
          <w:rPr>
            <w:rStyle w:val="Lienhypertexte"/>
            <w:noProof/>
          </w:rPr>
          <w:t>VII. FINANCEMENT DE LA STRATEGIE NATIONALE D’INTEGRATION</w:t>
        </w:r>
        <w:r w:rsidR="000E368D">
          <w:rPr>
            <w:noProof/>
            <w:webHidden/>
          </w:rPr>
          <w:tab/>
        </w:r>
        <w:r w:rsidR="000E368D">
          <w:rPr>
            <w:noProof/>
            <w:webHidden/>
          </w:rPr>
          <w:fldChar w:fldCharType="begin"/>
        </w:r>
        <w:r w:rsidR="000E368D">
          <w:rPr>
            <w:noProof/>
            <w:webHidden/>
          </w:rPr>
          <w:instrText xml:space="preserve"> PAGEREF _Toc135140200 \h </w:instrText>
        </w:r>
        <w:r w:rsidR="000E368D">
          <w:rPr>
            <w:noProof/>
            <w:webHidden/>
          </w:rPr>
        </w:r>
        <w:r w:rsidR="000E368D">
          <w:rPr>
            <w:noProof/>
            <w:webHidden/>
          </w:rPr>
          <w:fldChar w:fldCharType="separate"/>
        </w:r>
        <w:r w:rsidR="000E368D">
          <w:rPr>
            <w:noProof/>
            <w:webHidden/>
          </w:rPr>
          <w:t>38</w:t>
        </w:r>
        <w:r w:rsidR="000E368D">
          <w:rPr>
            <w:noProof/>
            <w:webHidden/>
          </w:rPr>
          <w:fldChar w:fldCharType="end"/>
        </w:r>
      </w:hyperlink>
    </w:p>
    <w:p w14:paraId="5CF0D531" w14:textId="77777777" w:rsidR="000E368D" w:rsidRDefault="00890DD7">
      <w:pPr>
        <w:pStyle w:val="TM2"/>
        <w:tabs>
          <w:tab w:val="right" w:leader="dot" w:pos="9060"/>
        </w:tabs>
        <w:rPr>
          <w:rFonts w:asciiTheme="minorHAnsi" w:eastAsiaTheme="minorEastAsia" w:hAnsiTheme="minorHAnsi"/>
          <w:b w:val="0"/>
          <w:noProof/>
          <w:color w:val="auto"/>
          <w:sz w:val="22"/>
          <w:lang w:eastAsia="fr-FR"/>
        </w:rPr>
      </w:pPr>
      <w:hyperlink w:anchor="_Toc135140201" w:history="1">
        <w:r w:rsidR="000E368D" w:rsidRPr="00CE52CD">
          <w:rPr>
            <w:rStyle w:val="Lienhypertexte"/>
            <w:noProof/>
          </w:rPr>
          <w:t>ANNEXES</w:t>
        </w:r>
        <w:r w:rsidR="000E368D">
          <w:rPr>
            <w:noProof/>
            <w:webHidden/>
          </w:rPr>
          <w:tab/>
        </w:r>
        <w:r w:rsidR="000E368D">
          <w:rPr>
            <w:noProof/>
            <w:webHidden/>
          </w:rPr>
          <w:fldChar w:fldCharType="begin"/>
        </w:r>
        <w:r w:rsidR="000E368D">
          <w:rPr>
            <w:noProof/>
            <w:webHidden/>
          </w:rPr>
          <w:instrText xml:space="preserve"> PAGEREF _Toc135140201 \h </w:instrText>
        </w:r>
        <w:r w:rsidR="000E368D">
          <w:rPr>
            <w:noProof/>
            <w:webHidden/>
          </w:rPr>
        </w:r>
        <w:r w:rsidR="000E368D">
          <w:rPr>
            <w:noProof/>
            <w:webHidden/>
          </w:rPr>
          <w:fldChar w:fldCharType="separate"/>
        </w:r>
        <w:r w:rsidR="000E368D">
          <w:rPr>
            <w:noProof/>
            <w:webHidden/>
          </w:rPr>
          <w:t>39</w:t>
        </w:r>
        <w:r w:rsidR="000E368D">
          <w:rPr>
            <w:noProof/>
            <w:webHidden/>
          </w:rPr>
          <w:fldChar w:fldCharType="end"/>
        </w:r>
      </w:hyperlink>
    </w:p>
    <w:p w14:paraId="1E2FAD3E"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202" w:history="1">
        <w:r w:rsidR="000E368D" w:rsidRPr="00CE52CD">
          <w:rPr>
            <w:rStyle w:val="Lienhypertexte"/>
            <w:noProof/>
          </w:rPr>
          <w:t>ANNEXE 1 : Cadre stratégique</w:t>
        </w:r>
        <w:r w:rsidR="000E368D">
          <w:rPr>
            <w:noProof/>
            <w:webHidden/>
          </w:rPr>
          <w:tab/>
        </w:r>
        <w:r w:rsidR="000E368D">
          <w:rPr>
            <w:noProof/>
            <w:webHidden/>
          </w:rPr>
          <w:fldChar w:fldCharType="begin"/>
        </w:r>
        <w:r w:rsidR="000E368D">
          <w:rPr>
            <w:noProof/>
            <w:webHidden/>
          </w:rPr>
          <w:instrText xml:space="preserve"> PAGEREF _Toc135140202 \h </w:instrText>
        </w:r>
        <w:r w:rsidR="000E368D">
          <w:rPr>
            <w:noProof/>
            <w:webHidden/>
          </w:rPr>
        </w:r>
        <w:r w:rsidR="000E368D">
          <w:rPr>
            <w:noProof/>
            <w:webHidden/>
          </w:rPr>
          <w:fldChar w:fldCharType="separate"/>
        </w:r>
        <w:r w:rsidR="000E368D">
          <w:rPr>
            <w:noProof/>
            <w:webHidden/>
          </w:rPr>
          <w:t>39</w:t>
        </w:r>
        <w:r w:rsidR="000E368D">
          <w:rPr>
            <w:noProof/>
            <w:webHidden/>
          </w:rPr>
          <w:fldChar w:fldCharType="end"/>
        </w:r>
      </w:hyperlink>
    </w:p>
    <w:p w14:paraId="2615E157"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203" w:history="1">
        <w:r w:rsidR="000E368D" w:rsidRPr="00CE52CD">
          <w:rPr>
            <w:rStyle w:val="Lienhypertexte"/>
            <w:noProof/>
          </w:rPr>
          <w:t>ANNEXE 2 : Plan d’actions</w:t>
        </w:r>
        <w:r w:rsidR="000E368D">
          <w:rPr>
            <w:noProof/>
            <w:webHidden/>
          </w:rPr>
          <w:tab/>
        </w:r>
        <w:r w:rsidR="000E368D">
          <w:rPr>
            <w:noProof/>
            <w:webHidden/>
          </w:rPr>
          <w:fldChar w:fldCharType="begin"/>
        </w:r>
        <w:r w:rsidR="000E368D">
          <w:rPr>
            <w:noProof/>
            <w:webHidden/>
          </w:rPr>
          <w:instrText xml:space="preserve"> PAGEREF _Toc135140203 \h </w:instrText>
        </w:r>
        <w:r w:rsidR="000E368D">
          <w:rPr>
            <w:noProof/>
            <w:webHidden/>
          </w:rPr>
        </w:r>
        <w:r w:rsidR="000E368D">
          <w:rPr>
            <w:noProof/>
            <w:webHidden/>
          </w:rPr>
          <w:fldChar w:fldCharType="separate"/>
        </w:r>
        <w:r w:rsidR="000E368D">
          <w:rPr>
            <w:noProof/>
            <w:webHidden/>
          </w:rPr>
          <w:t>46</w:t>
        </w:r>
        <w:r w:rsidR="000E368D">
          <w:rPr>
            <w:noProof/>
            <w:webHidden/>
          </w:rPr>
          <w:fldChar w:fldCharType="end"/>
        </w:r>
      </w:hyperlink>
    </w:p>
    <w:p w14:paraId="30729AD3"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204" w:history="1">
        <w:r w:rsidR="000E368D" w:rsidRPr="00CE52CD">
          <w:rPr>
            <w:rStyle w:val="Lienhypertexte"/>
            <w:noProof/>
          </w:rPr>
          <w:t>ANNEXE 3 : Cadre de mesure de la performance</w:t>
        </w:r>
        <w:r w:rsidR="000E368D">
          <w:rPr>
            <w:noProof/>
            <w:webHidden/>
          </w:rPr>
          <w:tab/>
        </w:r>
        <w:r w:rsidR="000E368D">
          <w:rPr>
            <w:noProof/>
            <w:webHidden/>
          </w:rPr>
          <w:fldChar w:fldCharType="begin"/>
        </w:r>
        <w:r w:rsidR="000E368D">
          <w:rPr>
            <w:noProof/>
            <w:webHidden/>
          </w:rPr>
          <w:instrText xml:space="preserve"> PAGEREF _Toc135140204 \h </w:instrText>
        </w:r>
        <w:r w:rsidR="000E368D">
          <w:rPr>
            <w:noProof/>
            <w:webHidden/>
          </w:rPr>
        </w:r>
        <w:r w:rsidR="000E368D">
          <w:rPr>
            <w:noProof/>
            <w:webHidden/>
          </w:rPr>
          <w:fldChar w:fldCharType="separate"/>
        </w:r>
        <w:r w:rsidR="000E368D">
          <w:rPr>
            <w:noProof/>
            <w:webHidden/>
          </w:rPr>
          <w:t>47</w:t>
        </w:r>
        <w:r w:rsidR="000E368D">
          <w:rPr>
            <w:noProof/>
            <w:webHidden/>
          </w:rPr>
          <w:fldChar w:fldCharType="end"/>
        </w:r>
      </w:hyperlink>
    </w:p>
    <w:p w14:paraId="37AA70C9" w14:textId="77777777" w:rsidR="000E368D" w:rsidRDefault="00890DD7">
      <w:pPr>
        <w:pStyle w:val="TM3"/>
        <w:tabs>
          <w:tab w:val="right" w:leader="dot" w:pos="9060"/>
        </w:tabs>
        <w:rPr>
          <w:rFonts w:asciiTheme="minorHAnsi" w:eastAsiaTheme="minorEastAsia" w:hAnsiTheme="minorHAnsi"/>
          <w:b w:val="0"/>
          <w:noProof/>
          <w:color w:val="auto"/>
          <w:lang w:eastAsia="fr-FR"/>
        </w:rPr>
      </w:pPr>
      <w:hyperlink w:anchor="_Toc135140205" w:history="1">
        <w:r w:rsidR="000E368D" w:rsidRPr="00CE52CD">
          <w:rPr>
            <w:rStyle w:val="Lienhypertexte"/>
            <w:noProof/>
          </w:rPr>
          <w:t>ANNEXE 4 : Analyse SWOT</w:t>
        </w:r>
        <w:r w:rsidR="000E368D">
          <w:rPr>
            <w:noProof/>
            <w:webHidden/>
          </w:rPr>
          <w:tab/>
        </w:r>
        <w:r w:rsidR="000E368D">
          <w:rPr>
            <w:noProof/>
            <w:webHidden/>
          </w:rPr>
          <w:fldChar w:fldCharType="begin"/>
        </w:r>
        <w:r w:rsidR="000E368D">
          <w:rPr>
            <w:noProof/>
            <w:webHidden/>
          </w:rPr>
          <w:instrText xml:space="preserve"> PAGEREF _Toc135140205 \h </w:instrText>
        </w:r>
        <w:r w:rsidR="000E368D">
          <w:rPr>
            <w:noProof/>
            <w:webHidden/>
          </w:rPr>
        </w:r>
        <w:r w:rsidR="000E368D">
          <w:rPr>
            <w:noProof/>
            <w:webHidden/>
          </w:rPr>
          <w:fldChar w:fldCharType="separate"/>
        </w:r>
        <w:r w:rsidR="000E368D">
          <w:rPr>
            <w:noProof/>
            <w:webHidden/>
          </w:rPr>
          <w:t>50</w:t>
        </w:r>
        <w:r w:rsidR="000E368D">
          <w:rPr>
            <w:noProof/>
            <w:webHidden/>
          </w:rPr>
          <w:fldChar w:fldCharType="end"/>
        </w:r>
      </w:hyperlink>
    </w:p>
    <w:p w14:paraId="213A2A81" w14:textId="61E29AE4" w:rsidR="00A0114A" w:rsidRDefault="000E368D" w:rsidP="0034692F">
      <w:pPr>
        <w:rPr>
          <w:rFonts w:cs="Tahoma"/>
          <w:b/>
          <w:color w:val="595959" w:themeColor="text1" w:themeTint="A6"/>
          <w:sz w:val="28"/>
          <w:szCs w:val="24"/>
        </w:rPr>
      </w:pPr>
      <w:r>
        <w:rPr>
          <w:rFonts w:ascii="Impact" w:hAnsi="Impact" w:cs="Tahoma"/>
          <w:b/>
          <w:color w:val="595959" w:themeColor="text1" w:themeTint="A6"/>
          <w:sz w:val="28"/>
          <w:szCs w:val="24"/>
        </w:rPr>
        <w:fldChar w:fldCharType="end"/>
      </w:r>
    </w:p>
    <w:p w14:paraId="4B2F1C8D" w14:textId="035AEC70" w:rsidR="00A0114A" w:rsidRDefault="00A0114A">
      <w:pPr>
        <w:spacing w:line="259" w:lineRule="auto"/>
        <w:jc w:val="left"/>
        <w:rPr>
          <w:rFonts w:cs="Tahoma"/>
          <w:b/>
          <w:color w:val="595959" w:themeColor="text1" w:themeTint="A6"/>
          <w:sz w:val="28"/>
          <w:szCs w:val="24"/>
        </w:rPr>
      </w:pPr>
      <w:r>
        <w:rPr>
          <w:rFonts w:cs="Tahoma"/>
          <w:b/>
          <w:color w:val="595959" w:themeColor="text1" w:themeTint="A6"/>
          <w:sz w:val="28"/>
          <w:szCs w:val="24"/>
        </w:rPr>
        <w:br w:type="page"/>
      </w:r>
    </w:p>
    <w:p w14:paraId="59EC6197" w14:textId="23B85AEC" w:rsidR="008F3E33" w:rsidRDefault="002D2521">
      <w:pPr>
        <w:spacing w:line="259" w:lineRule="auto"/>
        <w:jc w:val="left"/>
        <w:rPr>
          <w:rFonts w:ascii="Tahoma" w:hAnsi="Tahoma" w:cs="Tahoma"/>
          <w:b/>
          <w:color w:val="833C0B" w:themeColor="accent2" w:themeShade="80"/>
          <w:sz w:val="32"/>
          <w:szCs w:val="32"/>
        </w:rPr>
      </w:pPr>
      <w:r w:rsidRPr="00F55AE3">
        <w:rPr>
          <w:rFonts w:ascii="Tahoma" w:hAnsi="Tahoma" w:cs="Tahoma"/>
          <w:b/>
          <w:noProof/>
          <w:color w:val="833C0B" w:themeColor="accent2" w:themeShade="80"/>
          <w:sz w:val="32"/>
          <w:szCs w:val="32"/>
          <w:lang w:eastAsia="fr-FR"/>
        </w:rPr>
        <w:lastRenderedPageBreak/>
        <w:drawing>
          <wp:anchor distT="0" distB="0" distL="114300" distR="114300" simplePos="0" relativeHeight="251819008" behindDoc="1" locked="1" layoutInCell="1" allowOverlap="1" wp14:anchorId="7284D44A" wp14:editId="019BA6B8">
            <wp:simplePos x="0" y="0"/>
            <wp:positionH relativeFrom="page">
              <wp:align>right</wp:align>
            </wp:positionH>
            <wp:positionV relativeFrom="page">
              <wp:align>top</wp:align>
            </wp:positionV>
            <wp:extent cx="7561580" cy="10058400"/>
            <wp:effectExtent l="0" t="0" r="127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0">
                      <a:extLst>
                        <a:ext uri="{28A0092B-C50C-407E-A947-70E740481C1C}">
                          <a14:useLocalDpi xmlns:a14="http://schemas.microsoft.com/office/drawing/2010/main" val="0"/>
                        </a:ext>
                      </a:extLst>
                    </a:blip>
                    <a:stretch>
                      <a:fillRect/>
                    </a:stretch>
                  </pic:blipFill>
                  <pic:spPr>
                    <a:xfrm>
                      <a:off x="0" y="0"/>
                      <a:ext cx="7561580" cy="10058400"/>
                    </a:xfrm>
                    <a:prstGeom prst="rect">
                      <a:avLst/>
                    </a:prstGeom>
                  </pic:spPr>
                </pic:pic>
              </a:graphicData>
            </a:graphic>
            <wp14:sizeRelH relativeFrom="page">
              <wp14:pctWidth>0</wp14:pctWidth>
            </wp14:sizeRelH>
            <wp14:sizeRelV relativeFrom="page">
              <wp14:pctHeight>0</wp14:pctHeight>
            </wp14:sizeRelV>
          </wp:anchor>
        </w:drawing>
      </w:r>
      <w:r w:rsidR="007E3F03">
        <w:rPr>
          <w:rFonts w:ascii="Tahoma" w:hAnsi="Tahoma" w:cs="Tahoma"/>
          <w:b/>
          <w:color w:val="833C0B" w:themeColor="accent2" w:themeShade="80"/>
          <w:sz w:val="32"/>
          <w:szCs w:val="32"/>
        </w:rPr>
        <w:t>Liste des graphiques</w:t>
      </w:r>
    </w:p>
    <w:p w14:paraId="118D246C" w14:textId="77777777" w:rsidR="000E368D" w:rsidRDefault="008F3E33">
      <w:pPr>
        <w:pStyle w:val="Tabledesillustrations"/>
        <w:tabs>
          <w:tab w:val="right" w:leader="dot" w:pos="9060"/>
        </w:tabs>
        <w:rPr>
          <w:rFonts w:asciiTheme="minorHAnsi" w:eastAsiaTheme="minorEastAsia" w:hAnsiTheme="minorHAnsi" w:cstheme="minorBidi"/>
          <w:noProof/>
          <w:sz w:val="22"/>
          <w:szCs w:val="22"/>
        </w:rPr>
      </w:pPr>
      <w:r w:rsidRPr="00086B3E">
        <w:rPr>
          <w:i/>
          <w:caps/>
          <w:color w:val="0000FF"/>
          <w:sz w:val="22"/>
        </w:rPr>
        <w:fldChar w:fldCharType="begin"/>
      </w:r>
      <w:r w:rsidRPr="00086B3E">
        <w:rPr>
          <w:i/>
          <w:caps/>
          <w:color w:val="0000FF"/>
          <w:sz w:val="22"/>
        </w:rPr>
        <w:instrText xml:space="preserve"> TOC \h \z \c "Graphique" </w:instrText>
      </w:r>
      <w:r w:rsidRPr="00086B3E">
        <w:rPr>
          <w:i/>
          <w:caps/>
          <w:color w:val="0000FF"/>
          <w:sz w:val="22"/>
        </w:rPr>
        <w:fldChar w:fldCharType="separate"/>
      </w:r>
      <w:hyperlink w:anchor="_Toc135140206" w:history="1">
        <w:r w:rsidR="000E368D" w:rsidRPr="00972ED4">
          <w:rPr>
            <w:rStyle w:val="Lienhypertexte"/>
            <w:rFonts w:eastAsiaTheme="majorEastAsia" w:cs="Arial"/>
            <w:b/>
            <w:bCs/>
            <w:noProof/>
          </w:rPr>
          <w:t>Graphique 1</w:t>
        </w:r>
        <w:r w:rsidR="000E368D" w:rsidRPr="00972ED4">
          <w:rPr>
            <w:rStyle w:val="Lienhypertexte"/>
            <w:rFonts w:eastAsiaTheme="majorEastAsia" w:cs="Arial"/>
            <w:noProof/>
          </w:rPr>
          <w:t>: Pyramide des âges du Sénégal en 2021</w:t>
        </w:r>
        <w:r w:rsidR="000E368D">
          <w:rPr>
            <w:noProof/>
            <w:webHidden/>
          </w:rPr>
          <w:tab/>
        </w:r>
        <w:r w:rsidR="000E368D">
          <w:rPr>
            <w:noProof/>
            <w:webHidden/>
          </w:rPr>
          <w:fldChar w:fldCharType="begin"/>
        </w:r>
        <w:r w:rsidR="000E368D">
          <w:rPr>
            <w:noProof/>
            <w:webHidden/>
          </w:rPr>
          <w:instrText xml:space="preserve"> PAGEREF _Toc135140206 \h </w:instrText>
        </w:r>
        <w:r w:rsidR="000E368D">
          <w:rPr>
            <w:noProof/>
            <w:webHidden/>
          </w:rPr>
        </w:r>
        <w:r w:rsidR="000E368D">
          <w:rPr>
            <w:noProof/>
            <w:webHidden/>
          </w:rPr>
          <w:fldChar w:fldCharType="separate"/>
        </w:r>
        <w:r w:rsidR="000E368D">
          <w:rPr>
            <w:noProof/>
            <w:webHidden/>
          </w:rPr>
          <w:t>17</w:t>
        </w:r>
        <w:r w:rsidR="000E368D">
          <w:rPr>
            <w:noProof/>
            <w:webHidden/>
          </w:rPr>
          <w:fldChar w:fldCharType="end"/>
        </w:r>
      </w:hyperlink>
    </w:p>
    <w:p w14:paraId="6EBAEF11" w14:textId="77777777" w:rsidR="000E368D" w:rsidRDefault="00890DD7">
      <w:pPr>
        <w:pStyle w:val="Tabledesillustrations"/>
        <w:tabs>
          <w:tab w:val="right" w:leader="dot" w:pos="9060"/>
        </w:tabs>
        <w:rPr>
          <w:rFonts w:asciiTheme="minorHAnsi" w:eastAsiaTheme="minorEastAsia" w:hAnsiTheme="minorHAnsi" w:cstheme="minorBidi"/>
          <w:noProof/>
          <w:sz w:val="22"/>
          <w:szCs w:val="22"/>
        </w:rPr>
      </w:pPr>
      <w:hyperlink w:anchor="_Toc135140207" w:history="1">
        <w:r w:rsidR="000E368D" w:rsidRPr="00972ED4">
          <w:rPr>
            <w:rStyle w:val="Lienhypertexte"/>
            <w:rFonts w:eastAsiaTheme="majorEastAsia" w:cs="Arial"/>
            <w:b/>
            <w:bCs/>
            <w:noProof/>
          </w:rPr>
          <w:t xml:space="preserve">Graphique 2 : </w:t>
        </w:r>
        <w:r w:rsidR="000E368D" w:rsidRPr="00972ED4">
          <w:rPr>
            <w:rStyle w:val="Lienhypertexte"/>
            <w:rFonts w:eastAsiaTheme="majorEastAsia" w:cs="Arial"/>
            <w:noProof/>
          </w:rPr>
          <w:t>Évolution du taux de chômage au Sénégal (%)</w:t>
        </w:r>
        <w:r w:rsidR="000E368D">
          <w:rPr>
            <w:noProof/>
            <w:webHidden/>
          </w:rPr>
          <w:tab/>
        </w:r>
        <w:r w:rsidR="000E368D">
          <w:rPr>
            <w:noProof/>
            <w:webHidden/>
          </w:rPr>
          <w:fldChar w:fldCharType="begin"/>
        </w:r>
        <w:r w:rsidR="000E368D">
          <w:rPr>
            <w:noProof/>
            <w:webHidden/>
          </w:rPr>
          <w:instrText xml:space="preserve"> PAGEREF _Toc135140207 \h </w:instrText>
        </w:r>
        <w:r w:rsidR="000E368D">
          <w:rPr>
            <w:noProof/>
            <w:webHidden/>
          </w:rPr>
        </w:r>
        <w:r w:rsidR="000E368D">
          <w:rPr>
            <w:noProof/>
            <w:webHidden/>
          </w:rPr>
          <w:fldChar w:fldCharType="separate"/>
        </w:r>
        <w:r w:rsidR="000E368D">
          <w:rPr>
            <w:noProof/>
            <w:webHidden/>
          </w:rPr>
          <w:t>17</w:t>
        </w:r>
        <w:r w:rsidR="000E368D">
          <w:rPr>
            <w:noProof/>
            <w:webHidden/>
          </w:rPr>
          <w:fldChar w:fldCharType="end"/>
        </w:r>
      </w:hyperlink>
    </w:p>
    <w:p w14:paraId="147242FC" w14:textId="77777777" w:rsidR="000E368D" w:rsidRDefault="00890DD7">
      <w:pPr>
        <w:pStyle w:val="Tabledesillustrations"/>
        <w:tabs>
          <w:tab w:val="right" w:leader="dot" w:pos="9060"/>
        </w:tabs>
        <w:rPr>
          <w:rFonts w:asciiTheme="minorHAnsi" w:eastAsiaTheme="minorEastAsia" w:hAnsiTheme="minorHAnsi" w:cstheme="minorBidi"/>
          <w:noProof/>
          <w:sz w:val="22"/>
          <w:szCs w:val="22"/>
        </w:rPr>
      </w:pPr>
      <w:hyperlink w:anchor="_Toc135140208" w:history="1">
        <w:r w:rsidR="000E368D" w:rsidRPr="00972ED4">
          <w:rPr>
            <w:rStyle w:val="Lienhypertexte"/>
            <w:rFonts w:eastAsiaTheme="majorEastAsia" w:cs="Arial"/>
            <w:b/>
            <w:bCs/>
            <w:noProof/>
          </w:rPr>
          <w:t>Graphique 3</w:t>
        </w:r>
        <w:r w:rsidR="000E368D" w:rsidRPr="00972ED4">
          <w:rPr>
            <w:rStyle w:val="Lienhypertexte"/>
            <w:rFonts w:eastAsiaTheme="majorEastAsia" w:cs="Arial"/>
            <w:noProof/>
          </w:rPr>
          <w:t>: Indice de capacités productives en 2018</w:t>
        </w:r>
        <w:r w:rsidR="000E368D">
          <w:rPr>
            <w:noProof/>
            <w:webHidden/>
          </w:rPr>
          <w:tab/>
        </w:r>
        <w:r w:rsidR="000E368D">
          <w:rPr>
            <w:noProof/>
            <w:webHidden/>
          </w:rPr>
          <w:fldChar w:fldCharType="begin"/>
        </w:r>
        <w:r w:rsidR="000E368D">
          <w:rPr>
            <w:noProof/>
            <w:webHidden/>
          </w:rPr>
          <w:instrText xml:space="preserve"> PAGEREF _Toc135140208 \h </w:instrText>
        </w:r>
        <w:r w:rsidR="000E368D">
          <w:rPr>
            <w:noProof/>
            <w:webHidden/>
          </w:rPr>
        </w:r>
        <w:r w:rsidR="000E368D">
          <w:rPr>
            <w:noProof/>
            <w:webHidden/>
          </w:rPr>
          <w:fldChar w:fldCharType="separate"/>
        </w:r>
        <w:r w:rsidR="000E368D">
          <w:rPr>
            <w:noProof/>
            <w:webHidden/>
          </w:rPr>
          <w:t>19</w:t>
        </w:r>
        <w:r w:rsidR="000E368D">
          <w:rPr>
            <w:noProof/>
            <w:webHidden/>
          </w:rPr>
          <w:fldChar w:fldCharType="end"/>
        </w:r>
      </w:hyperlink>
    </w:p>
    <w:p w14:paraId="7E806EEC" w14:textId="77777777" w:rsidR="000E368D" w:rsidRDefault="00890DD7">
      <w:pPr>
        <w:pStyle w:val="Tabledesillustrations"/>
        <w:tabs>
          <w:tab w:val="right" w:leader="dot" w:pos="9060"/>
        </w:tabs>
        <w:rPr>
          <w:rFonts w:asciiTheme="minorHAnsi" w:eastAsiaTheme="minorEastAsia" w:hAnsiTheme="minorHAnsi" w:cstheme="minorBidi"/>
          <w:noProof/>
          <w:sz w:val="22"/>
          <w:szCs w:val="22"/>
        </w:rPr>
      </w:pPr>
      <w:hyperlink w:anchor="_Toc135140209" w:history="1">
        <w:r w:rsidR="000E368D" w:rsidRPr="00972ED4">
          <w:rPr>
            <w:rStyle w:val="Lienhypertexte"/>
            <w:rFonts w:eastAsiaTheme="majorEastAsia" w:cs="Arial"/>
            <w:b/>
            <w:bCs/>
            <w:noProof/>
          </w:rPr>
          <w:t>Graphique 4 :</w:t>
        </w:r>
        <w:r w:rsidR="000E368D" w:rsidRPr="00972ED4">
          <w:rPr>
            <w:rStyle w:val="Lienhypertexte"/>
            <w:rFonts w:eastAsiaTheme="majorEastAsia" w:cs="Arial"/>
            <w:bCs/>
            <w:noProof/>
          </w:rPr>
          <w:t xml:space="preserve"> Indice d'industrialisation en Afrique en 2021</w:t>
        </w:r>
        <w:r w:rsidR="000E368D">
          <w:rPr>
            <w:noProof/>
            <w:webHidden/>
          </w:rPr>
          <w:tab/>
        </w:r>
        <w:r w:rsidR="000E368D">
          <w:rPr>
            <w:noProof/>
            <w:webHidden/>
          </w:rPr>
          <w:fldChar w:fldCharType="begin"/>
        </w:r>
        <w:r w:rsidR="000E368D">
          <w:rPr>
            <w:noProof/>
            <w:webHidden/>
          </w:rPr>
          <w:instrText xml:space="preserve"> PAGEREF _Toc135140209 \h </w:instrText>
        </w:r>
        <w:r w:rsidR="000E368D">
          <w:rPr>
            <w:noProof/>
            <w:webHidden/>
          </w:rPr>
        </w:r>
        <w:r w:rsidR="000E368D">
          <w:rPr>
            <w:noProof/>
            <w:webHidden/>
          </w:rPr>
          <w:fldChar w:fldCharType="separate"/>
        </w:r>
        <w:r w:rsidR="000E368D">
          <w:rPr>
            <w:noProof/>
            <w:webHidden/>
          </w:rPr>
          <w:t>21</w:t>
        </w:r>
        <w:r w:rsidR="000E368D">
          <w:rPr>
            <w:noProof/>
            <w:webHidden/>
          </w:rPr>
          <w:fldChar w:fldCharType="end"/>
        </w:r>
      </w:hyperlink>
    </w:p>
    <w:p w14:paraId="202C487A" w14:textId="77777777" w:rsidR="000E368D" w:rsidRDefault="00890DD7">
      <w:pPr>
        <w:pStyle w:val="Tabledesillustrations"/>
        <w:tabs>
          <w:tab w:val="right" w:leader="dot" w:pos="9060"/>
        </w:tabs>
        <w:rPr>
          <w:rFonts w:asciiTheme="minorHAnsi" w:eastAsiaTheme="minorEastAsia" w:hAnsiTheme="minorHAnsi" w:cstheme="minorBidi"/>
          <w:noProof/>
          <w:sz w:val="22"/>
          <w:szCs w:val="22"/>
        </w:rPr>
      </w:pPr>
      <w:hyperlink w:anchor="_Toc135140210" w:history="1">
        <w:r w:rsidR="000E368D" w:rsidRPr="00972ED4">
          <w:rPr>
            <w:rStyle w:val="Lienhypertexte"/>
            <w:rFonts w:eastAsiaTheme="majorEastAsia" w:cs="Arial"/>
            <w:b/>
            <w:bCs/>
            <w:noProof/>
          </w:rPr>
          <w:t>Graphique 5</w:t>
        </w:r>
        <w:r w:rsidR="000E368D" w:rsidRPr="00972ED4">
          <w:rPr>
            <w:rStyle w:val="Lienhypertexte"/>
            <w:rFonts w:eastAsiaTheme="majorEastAsia"/>
            <w:noProof/>
          </w:rPr>
          <w:t xml:space="preserve"> </w:t>
        </w:r>
        <w:r w:rsidR="000E368D" w:rsidRPr="00972ED4">
          <w:rPr>
            <w:rStyle w:val="Lienhypertexte"/>
            <w:rFonts w:eastAsiaTheme="majorEastAsia" w:cs="Arial"/>
            <w:noProof/>
          </w:rPr>
          <w:t>: IDE par secteurs en millions de dollars US en 2020 en Afrique</w:t>
        </w:r>
        <w:r w:rsidR="000E368D">
          <w:rPr>
            <w:noProof/>
            <w:webHidden/>
          </w:rPr>
          <w:tab/>
        </w:r>
        <w:r w:rsidR="000E368D">
          <w:rPr>
            <w:noProof/>
            <w:webHidden/>
          </w:rPr>
          <w:fldChar w:fldCharType="begin"/>
        </w:r>
        <w:r w:rsidR="000E368D">
          <w:rPr>
            <w:noProof/>
            <w:webHidden/>
          </w:rPr>
          <w:instrText xml:space="preserve"> PAGEREF _Toc135140210 \h </w:instrText>
        </w:r>
        <w:r w:rsidR="000E368D">
          <w:rPr>
            <w:noProof/>
            <w:webHidden/>
          </w:rPr>
        </w:r>
        <w:r w:rsidR="000E368D">
          <w:rPr>
            <w:noProof/>
            <w:webHidden/>
          </w:rPr>
          <w:fldChar w:fldCharType="separate"/>
        </w:r>
        <w:r w:rsidR="000E368D">
          <w:rPr>
            <w:noProof/>
            <w:webHidden/>
          </w:rPr>
          <w:t>22</w:t>
        </w:r>
        <w:r w:rsidR="000E368D">
          <w:rPr>
            <w:noProof/>
            <w:webHidden/>
          </w:rPr>
          <w:fldChar w:fldCharType="end"/>
        </w:r>
      </w:hyperlink>
    </w:p>
    <w:p w14:paraId="5DE523CB" w14:textId="77777777" w:rsidR="000E368D" w:rsidRDefault="00890DD7">
      <w:pPr>
        <w:pStyle w:val="Tabledesillustrations"/>
        <w:tabs>
          <w:tab w:val="right" w:leader="dot" w:pos="9060"/>
        </w:tabs>
        <w:rPr>
          <w:rFonts w:asciiTheme="minorHAnsi" w:eastAsiaTheme="minorEastAsia" w:hAnsiTheme="minorHAnsi" w:cstheme="minorBidi"/>
          <w:noProof/>
          <w:sz w:val="22"/>
          <w:szCs w:val="22"/>
        </w:rPr>
      </w:pPr>
      <w:hyperlink w:anchor="_Toc135140211" w:history="1">
        <w:r w:rsidR="000E368D" w:rsidRPr="00972ED4">
          <w:rPr>
            <w:rStyle w:val="Lienhypertexte"/>
            <w:rFonts w:eastAsiaTheme="majorEastAsia" w:cs="Arial"/>
            <w:b/>
            <w:bCs/>
            <w:noProof/>
          </w:rPr>
          <w:t>Graphique 6</w:t>
        </w:r>
        <w:r w:rsidR="000E368D" w:rsidRPr="00972ED4">
          <w:rPr>
            <w:rStyle w:val="Lienhypertexte"/>
            <w:rFonts w:eastAsiaTheme="majorEastAsia" w:cs="Arial"/>
            <w:noProof/>
          </w:rPr>
          <w:t>: Part des exportations par continent en 2021</w:t>
        </w:r>
        <w:r w:rsidR="000E368D">
          <w:rPr>
            <w:noProof/>
            <w:webHidden/>
          </w:rPr>
          <w:tab/>
        </w:r>
        <w:r w:rsidR="000E368D">
          <w:rPr>
            <w:noProof/>
            <w:webHidden/>
          </w:rPr>
          <w:fldChar w:fldCharType="begin"/>
        </w:r>
        <w:r w:rsidR="000E368D">
          <w:rPr>
            <w:noProof/>
            <w:webHidden/>
          </w:rPr>
          <w:instrText xml:space="preserve"> PAGEREF _Toc135140211 \h </w:instrText>
        </w:r>
        <w:r w:rsidR="000E368D">
          <w:rPr>
            <w:noProof/>
            <w:webHidden/>
          </w:rPr>
        </w:r>
        <w:r w:rsidR="000E368D">
          <w:rPr>
            <w:noProof/>
            <w:webHidden/>
          </w:rPr>
          <w:fldChar w:fldCharType="separate"/>
        </w:r>
        <w:r w:rsidR="000E368D">
          <w:rPr>
            <w:noProof/>
            <w:webHidden/>
          </w:rPr>
          <w:t>23</w:t>
        </w:r>
        <w:r w:rsidR="000E368D">
          <w:rPr>
            <w:noProof/>
            <w:webHidden/>
          </w:rPr>
          <w:fldChar w:fldCharType="end"/>
        </w:r>
      </w:hyperlink>
    </w:p>
    <w:p w14:paraId="3A9B1AC8" w14:textId="77777777" w:rsidR="000E368D" w:rsidRDefault="00890DD7">
      <w:pPr>
        <w:pStyle w:val="Tabledesillustrations"/>
        <w:tabs>
          <w:tab w:val="right" w:leader="dot" w:pos="9060"/>
        </w:tabs>
        <w:rPr>
          <w:rFonts w:asciiTheme="minorHAnsi" w:eastAsiaTheme="minorEastAsia" w:hAnsiTheme="minorHAnsi" w:cstheme="minorBidi"/>
          <w:noProof/>
          <w:sz w:val="22"/>
          <w:szCs w:val="22"/>
        </w:rPr>
      </w:pPr>
      <w:hyperlink w:anchor="_Toc135140212" w:history="1">
        <w:r w:rsidR="000E368D" w:rsidRPr="00972ED4">
          <w:rPr>
            <w:rStyle w:val="Lienhypertexte"/>
            <w:rFonts w:eastAsiaTheme="majorEastAsia" w:cs="Arial"/>
            <w:b/>
            <w:bCs/>
            <w:noProof/>
          </w:rPr>
          <w:t>Graphique 7</w:t>
        </w:r>
        <w:r w:rsidR="000E368D" w:rsidRPr="00972ED4">
          <w:rPr>
            <w:rStyle w:val="Lienhypertexte"/>
            <w:rFonts w:eastAsiaTheme="majorEastAsia" w:cs="Arial"/>
            <w:noProof/>
          </w:rPr>
          <w:t>: Part des importations par continent en 2021</w:t>
        </w:r>
        <w:r w:rsidR="000E368D">
          <w:rPr>
            <w:noProof/>
            <w:webHidden/>
          </w:rPr>
          <w:tab/>
        </w:r>
        <w:r w:rsidR="000E368D">
          <w:rPr>
            <w:noProof/>
            <w:webHidden/>
          </w:rPr>
          <w:fldChar w:fldCharType="begin"/>
        </w:r>
        <w:r w:rsidR="000E368D">
          <w:rPr>
            <w:noProof/>
            <w:webHidden/>
          </w:rPr>
          <w:instrText xml:space="preserve"> PAGEREF _Toc135140212 \h </w:instrText>
        </w:r>
        <w:r w:rsidR="000E368D">
          <w:rPr>
            <w:noProof/>
            <w:webHidden/>
          </w:rPr>
        </w:r>
        <w:r w:rsidR="000E368D">
          <w:rPr>
            <w:noProof/>
            <w:webHidden/>
          </w:rPr>
          <w:fldChar w:fldCharType="separate"/>
        </w:r>
        <w:r w:rsidR="000E368D">
          <w:rPr>
            <w:noProof/>
            <w:webHidden/>
          </w:rPr>
          <w:t>23</w:t>
        </w:r>
        <w:r w:rsidR="000E368D">
          <w:rPr>
            <w:noProof/>
            <w:webHidden/>
          </w:rPr>
          <w:fldChar w:fldCharType="end"/>
        </w:r>
      </w:hyperlink>
    </w:p>
    <w:p w14:paraId="6B5F440B" w14:textId="77777777" w:rsidR="000E368D" w:rsidRDefault="00890DD7">
      <w:pPr>
        <w:pStyle w:val="Tabledesillustrations"/>
        <w:tabs>
          <w:tab w:val="right" w:leader="dot" w:pos="9060"/>
        </w:tabs>
        <w:rPr>
          <w:rFonts w:asciiTheme="minorHAnsi" w:eastAsiaTheme="minorEastAsia" w:hAnsiTheme="minorHAnsi" w:cstheme="minorBidi"/>
          <w:noProof/>
          <w:sz w:val="22"/>
          <w:szCs w:val="22"/>
        </w:rPr>
      </w:pPr>
      <w:hyperlink w:anchor="_Toc135140213" w:history="1">
        <w:r w:rsidR="000E368D" w:rsidRPr="00972ED4">
          <w:rPr>
            <w:rStyle w:val="Lienhypertexte"/>
            <w:rFonts w:eastAsiaTheme="majorEastAsia" w:cs="Arial"/>
            <w:b/>
            <w:bCs/>
            <w:noProof/>
          </w:rPr>
          <w:t>Graphique 8</w:t>
        </w:r>
        <w:r w:rsidR="000E368D" w:rsidRPr="00972ED4">
          <w:rPr>
            <w:rStyle w:val="Lienhypertexte"/>
            <w:rFonts w:eastAsiaTheme="majorEastAsia" w:cs="Arial"/>
            <w:noProof/>
          </w:rPr>
          <w:t>: Produits à avantages comparatifs révélés pour le Sénégal en 2021</w:t>
        </w:r>
        <w:r w:rsidR="000E368D">
          <w:rPr>
            <w:noProof/>
            <w:webHidden/>
          </w:rPr>
          <w:tab/>
        </w:r>
        <w:r w:rsidR="000E368D">
          <w:rPr>
            <w:noProof/>
            <w:webHidden/>
          </w:rPr>
          <w:fldChar w:fldCharType="begin"/>
        </w:r>
        <w:r w:rsidR="000E368D">
          <w:rPr>
            <w:noProof/>
            <w:webHidden/>
          </w:rPr>
          <w:instrText xml:space="preserve"> PAGEREF _Toc135140213 \h </w:instrText>
        </w:r>
        <w:r w:rsidR="000E368D">
          <w:rPr>
            <w:noProof/>
            <w:webHidden/>
          </w:rPr>
        </w:r>
        <w:r w:rsidR="000E368D">
          <w:rPr>
            <w:noProof/>
            <w:webHidden/>
          </w:rPr>
          <w:fldChar w:fldCharType="separate"/>
        </w:r>
        <w:r w:rsidR="000E368D">
          <w:rPr>
            <w:noProof/>
            <w:webHidden/>
          </w:rPr>
          <w:t>25</w:t>
        </w:r>
        <w:r w:rsidR="000E368D">
          <w:rPr>
            <w:noProof/>
            <w:webHidden/>
          </w:rPr>
          <w:fldChar w:fldCharType="end"/>
        </w:r>
      </w:hyperlink>
    </w:p>
    <w:p w14:paraId="40C24E96" w14:textId="77777777" w:rsidR="000E368D" w:rsidRDefault="00890DD7">
      <w:pPr>
        <w:pStyle w:val="Tabledesillustrations"/>
        <w:tabs>
          <w:tab w:val="right" w:leader="dot" w:pos="9060"/>
        </w:tabs>
        <w:rPr>
          <w:rFonts w:asciiTheme="minorHAnsi" w:eastAsiaTheme="minorEastAsia" w:hAnsiTheme="minorHAnsi" w:cstheme="minorBidi"/>
          <w:noProof/>
          <w:sz w:val="22"/>
          <w:szCs w:val="22"/>
        </w:rPr>
      </w:pPr>
      <w:hyperlink w:anchor="_Toc135140214" w:history="1">
        <w:r w:rsidR="000E368D" w:rsidRPr="00972ED4">
          <w:rPr>
            <w:rStyle w:val="Lienhypertexte"/>
            <w:rFonts w:eastAsiaTheme="majorEastAsia" w:cs="Arial"/>
            <w:b/>
            <w:bCs/>
            <w:noProof/>
          </w:rPr>
          <w:t>Graphique 9</w:t>
        </w:r>
        <w:r w:rsidR="000E368D" w:rsidRPr="00972ED4">
          <w:rPr>
            <w:rStyle w:val="Lienhypertexte"/>
            <w:rFonts w:eastAsiaTheme="majorEastAsia"/>
            <w:noProof/>
          </w:rPr>
          <w:t xml:space="preserve"> </w:t>
        </w:r>
        <w:r w:rsidR="000E368D" w:rsidRPr="00972ED4">
          <w:rPr>
            <w:rStyle w:val="Lienhypertexte"/>
            <w:rFonts w:eastAsiaTheme="majorEastAsia" w:cs="Arial"/>
            <w:noProof/>
          </w:rPr>
          <w:t>: Indice Mondial de l’infrastructure de qualité en Afrique</w:t>
        </w:r>
        <w:r w:rsidR="000E368D">
          <w:rPr>
            <w:noProof/>
            <w:webHidden/>
          </w:rPr>
          <w:tab/>
        </w:r>
        <w:r w:rsidR="000E368D">
          <w:rPr>
            <w:noProof/>
            <w:webHidden/>
          </w:rPr>
          <w:fldChar w:fldCharType="begin"/>
        </w:r>
        <w:r w:rsidR="000E368D">
          <w:rPr>
            <w:noProof/>
            <w:webHidden/>
          </w:rPr>
          <w:instrText xml:space="preserve"> PAGEREF _Toc135140214 \h </w:instrText>
        </w:r>
        <w:r w:rsidR="000E368D">
          <w:rPr>
            <w:noProof/>
            <w:webHidden/>
          </w:rPr>
        </w:r>
        <w:r w:rsidR="000E368D">
          <w:rPr>
            <w:noProof/>
            <w:webHidden/>
          </w:rPr>
          <w:fldChar w:fldCharType="separate"/>
        </w:r>
        <w:r w:rsidR="000E368D">
          <w:rPr>
            <w:noProof/>
            <w:webHidden/>
          </w:rPr>
          <w:t>27</w:t>
        </w:r>
        <w:r w:rsidR="000E368D">
          <w:rPr>
            <w:noProof/>
            <w:webHidden/>
          </w:rPr>
          <w:fldChar w:fldCharType="end"/>
        </w:r>
      </w:hyperlink>
    </w:p>
    <w:p w14:paraId="794D9C3E" w14:textId="77777777" w:rsidR="000E368D" w:rsidRDefault="00890DD7">
      <w:pPr>
        <w:pStyle w:val="Tabledesillustrations"/>
        <w:tabs>
          <w:tab w:val="right" w:leader="dot" w:pos="9060"/>
        </w:tabs>
        <w:rPr>
          <w:rFonts w:asciiTheme="minorHAnsi" w:eastAsiaTheme="minorEastAsia" w:hAnsiTheme="minorHAnsi" w:cstheme="minorBidi"/>
          <w:noProof/>
          <w:sz w:val="22"/>
          <w:szCs w:val="22"/>
        </w:rPr>
      </w:pPr>
      <w:hyperlink w:anchor="_Toc135140215" w:history="1">
        <w:r w:rsidR="000E368D" w:rsidRPr="00972ED4">
          <w:rPr>
            <w:rStyle w:val="Lienhypertexte"/>
            <w:rFonts w:eastAsiaTheme="majorEastAsia" w:cs="Arial"/>
            <w:b/>
            <w:bCs/>
            <w:noProof/>
          </w:rPr>
          <w:t>Graphique 10 :</w:t>
        </w:r>
        <w:r w:rsidR="000E368D" w:rsidRPr="00972ED4">
          <w:rPr>
            <w:rStyle w:val="Lienhypertexte"/>
            <w:rFonts w:ascii="Arial" w:eastAsiaTheme="majorEastAsia" w:hAnsi="Arial" w:cs="Arial"/>
            <w:noProof/>
          </w:rPr>
          <w:t xml:space="preserve"> </w:t>
        </w:r>
        <w:r w:rsidR="000E368D" w:rsidRPr="00972ED4">
          <w:rPr>
            <w:rStyle w:val="Lienhypertexte"/>
            <w:rFonts w:eastAsiaTheme="majorEastAsia" w:cs="Arial"/>
            <w:noProof/>
          </w:rPr>
          <w:t>Infrastructures de transport et accès à l'énergie</w:t>
        </w:r>
        <w:r w:rsidR="000E368D">
          <w:rPr>
            <w:noProof/>
            <w:webHidden/>
          </w:rPr>
          <w:tab/>
        </w:r>
        <w:r w:rsidR="000E368D">
          <w:rPr>
            <w:noProof/>
            <w:webHidden/>
          </w:rPr>
          <w:fldChar w:fldCharType="begin"/>
        </w:r>
        <w:r w:rsidR="000E368D">
          <w:rPr>
            <w:noProof/>
            <w:webHidden/>
          </w:rPr>
          <w:instrText xml:space="preserve"> PAGEREF _Toc135140215 \h </w:instrText>
        </w:r>
        <w:r w:rsidR="000E368D">
          <w:rPr>
            <w:noProof/>
            <w:webHidden/>
          </w:rPr>
        </w:r>
        <w:r w:rsidR="000E368D">
          <w:rPr>
            <w:noProof/>
            <w:webHidden/>
          </w:rPr>
          <w:fldChar w:fldCharType="separate"/>
        </w:r>
        <w:r w:rsidR="000E368D">
          <w:rPr>
            <w:noProof/>
            <w:webHidden/>
          </w:rPr>
          <w:t>28</w:t>
        </w:r>
        <w:r w:rsidR="000E368D">
          <w:rPr>
            <w:noProof/>
            <w:webHidden/>
          </w:rPr>
          <w:fldChar w:fldCharType="end"/>
        </w:r>
      </w:hyperlink>
    </w:p>
    <w:p w14:paraId="316FE8DE" w14:textId="77777777" w:rsidR="000E368D" w:rsidRDefault="00890DD7">
      <w:pPr>
        <w:pStyle w:val="Tabledesillustrations"/>
        <w:tabs>
          <w:tab w:val="right" w:leader="dot" w:pos="9060"/>
        </w:tabs>
        <w:rPr>
          <w:rFonts w:asciiTheme="minorHAnsi" w:eastAsiaTheme="minorEastAsia" w:hAnsiTheme="minorHAnsi" w:cstheme="minorBidi"/>
          <w:noProof/>
          <w:sz w:val="22"/>
          <w:szCs w:val="22"/>
        </w:rPr>
      </w:pPr>
      <w:hyperlink w:anchor="_Toc135140216" w:history="1">
        <w:r w:rsidR="000E368D" w:rsidRPr="00972ED4">
          <w:rPr>
            <w:rStyle w:val="Lienhypertexte"/>
            <w:rFonts w:eastAsiaTheme="majorEastAsia" w:cs="Arial"/>
            <w:b/>
            <w:bCs/>
            <w:noProof/>
          </w:rPr>
          <w:t>Graphique 11</w:t>
        </w:r>
        <w:r w:rsidR="000E368D" w:rsidRPr="00972ED4">
          <w:rPr>
            <w:rStyle w:val="Lienhypertexte"/>
            <w:rFonts w:eastAsiaTheme="majorEastAsia" w:cs="Arial"/>
            <w:noProof/>
          </w:rPr>
          <w:t>: Indice d’adoption du numérique au Sénégal et dans les pays choisis</w:t>
        </w:r>
        <w:r w:rsidR="000E368D">
          <w:rPr>
            <w:noProof/>
            <w:webHidden/>
          </w:rPr>
          <w:tab/>
        </w:r>
        <w:r w:rsidR="000E368D">
          <w:rPr>
            <w:noProof/>
            <w:webHidden/>
          </w:rPr>
          <w:fldChar w:fldCharType="begin"/>
        </w:r>
        <w:r w:rsidR="000E368D">
          <w:rPr>
            <w:noProof/>
            <w:webHidden/>
          </w:rPr>
          <w:instrText xml:space="preserve"> PAGEREF _Toc135140216 \h </w:instrText>
        </w:r>
        <w:r w:rsidR="000E368D">
          <w:rPr>
            <w:noProof/>
            <w:webHidden/>
          </w:rPr>
        </w:r>
        <w:r w:rsidR="000E368D">
          <w:rPr>
            <w:noProof/>
            <w:webHidden/>
          </w:rPr>
          <w:fldChar w:fldCharType="separate"/>
        </w:r>
        <w:r w:rsidR="000E368D">
          <w:rPr>
            <w:noProof/>
            <w:webHidden/>
          </w:rPr>
          <w:t>30</w:t>
        </w:r>
        <w:r w:rsidR="000E368D">
          <w:rPr>
            <w:noProof/>
            <w:webHidden/>
          </w:rPr>
          <w:fldChar w:fldCharType="end"/>
        </w:r>
      </w:hyperlink>
    </w:p>
    <w:p w14:paraId="52F67CEF" w14:textId="77777777" w:rsidR="008F3E33" w:rsidRPr="00086B3E" w:rsidRDefault="008F3E33" w:rsidP="008F3E33">
      <w:r w:rsidRPr="00086B3E">
        <w:rPr>
          <w:i/>
        </w:rPr>
        <w:fldChar w:fldCharType="end"/>
      </w:r>
    </w:p>
    <w:p w14:paraId="3B57F12A" w14:textId="77777777" w:rsidR="002D2521" w:rsidRDefault="002D2521">
      <w:pPr>
        <w:spacing w:after="160" w:line="259" w:lineRule="auto"/>
        <w:jc w:val="left"/>
      </w:pPr>
      <w:r>
        <w:br w:type="page"/>
      </w:r>
    </w:p>
    <w:p w14:paraId="346AF2FA" w14:textId="75A58B6C" w:rsidR="002016AE" w:rsidRDefault="002D2521" w:rsidP="008F3E33">
      <w:pPr>
        <w:spacing w:line="259" w:lineRule="auto"/>
        <w:jc w:val="left"/>
        <w:rPr>
          <w:rFonts w:ascii="Tahoma" w:hAnsi="Tahoma" w:cs="Tahoma"/>
          <w:b/>
          <w:color w:val="833C0B" w:themeColor="accent2" w:themeShade="80"/>
          <w:sz w:val="32"/>
          <w:szCs w:val="32"/>
        </w:rPr>
      </w:pPr>
      <w:r w:rsidRPr="002D2521">
        <w:rPr>
          <w:rFonts w:ascii="Tahoma" w:hAnsi="Tahoma" w:cs="Tahoma"/>
          <w:b/>
          <w:color w:val="833C0B" w:themeColor="accent2" w:themeShade="80"/>
          <w:sz w:val="32"/>
          <w:szCs w:val="32"/>
        </w:rPr>
        <w:lastRenderedPageBreak/>
        <w:t>Liste des sigles et abréviations</w:t>
      </w:r>
      <w:r w:rsidR="002016AE" w:rsidRPr="002016AE">
        <w:rPr>
          <w:rFonts w:ascii="Tahoma" w:hAnsi="Tahoma" w:cs="Tahoma"/>
          <w:b/>
          <w:noProof/>
          <w:color w:val="833C0B" w:themeColor="accent2" w:themeShade="80"/>
          <w:sz w:val="32"/>
          <w:szCs w:val="32"/>
          <w:lang w:eastAsia="fr-FR"/>
        </w:rPr>
        <w:t xml:space="preserve"> </w:t>
      </w:r>
      <w:r w:rsidR="002016AE" w:rsidRPr="00F55AE3">
        <w:rPr>
          <w:rFonts w:ascii="Tahoma" w:hAnsi="Tahoma" w:cs="Tahoma"/>
          <w:b/>
          <w:noProof/>
          <w:color w:val="833C0B" w:themeColor="accent2" w:themeShade="80"/>
          <w:sz w:val="32"/>
          <w:szCs w:val="32"/>
          <w:lang w:eastAsia="fr-FR"/>
        </w:rPr>
        <w:drawing>
          <wp:anchor distT="0" distB="0" distL="114300" distR="114300" simplePos="0" relativeHeight="251821056" behindDoc="1" locked="1" layoutInCell="1" allowOverlap="1" wp14:anchorId="700B73EF" wp14:editId="6238590A">
            <wp:simplePos x="0" y="0"/>
            <wp:positionH relativeFrom="page">
              <wp:align>right</wp:align>
            </wp:positionH>
            <wp:positionV relativeFrom="page">
              <wp:posOffset>25400</wp:posOffset>
            </wp:positionV>
            <wp:extent cx="7590790" cy="10000615"/>
            <wp:effectExtent l="0" t="0" r="0" b="635"/>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1">
                      <a:extLst>
                        <a:ext uri="{28A0092B-C50C-407E-A947-70E740481C1C}">
                          <a14:useLocalDpi xmlns:a14="http://schemas.microsoft.com/office/drawing/2010/main" val="0"/>
                        </a:ext>
                      </a:extLst>
                    </a:blip>
                    <a:stretch>
                      <a:fillRect/>
                    </a:stretch>
                  </pic:blipFill>
                  <pic:spPr>
                    <a:xfrm>
                      <a:off x="0" y="0"/>
                      <a:ext cx="7590790" cy="10000615"/>
                    </a:xfrm>
                    <a:prstGeom prst="rect">
                      <a:avLst/>
                    </a:prstGeom>
                  </pic:spPr>
                </pic:pic>
              </a:graphicData>
            </a:graphic>
            <wp14:sizeRelH relativeFrom="page">
              <wp14:pctWidth>0</wp14:pctWidth>
            </wp14:sizeRelH>
            <wp14:sizeRelV relativeFrom="page">
              <wp14:pctHeight>0</wp14:pctHeight>
            </wp14:sizeRelV>
          </wp:anchor>
        </w:drawing>
      </w:r>
    </w:p>
    <w:p w14:paraId="33F4B80B" w14:textId="77777777" w:rsidR="002016AE" w:rsidRPr="00FF30BB" w:rsidRDefault="002016AE" w:rsidP="002016AE">
      <w:pPr>
        <w:spacing w:after="0" w:line="240" w:lineRule="auto"/>
        <w:ind w:right="57"/>
        <w:rPr>
          <w:rFonts w:eastAsia="Calibri" w:cs="Arial"/>
          <w:w w:val="105"/>
          <w:sz w:val="22"/>
        </w:rPr>
      </w:pPr>
      <w:r w:rsidRPr="00FF30BB">
        <w:rPr>
          <w:rFonts w:eastAsia="Calibri" w:cs="Arial"/>
          <w:b/>
          <w:w w:val="105"/>
          <w:sz w:val="22"/>
        </w:rPr>
        <w:t>ACR</w:t>
      </w:r>
      <w:r w:rsidRPr="00FF30BB">
        <w:rPr>
          <w:rFonts w:eastAsia="Calibri" w:cs="Arial"/>
          <w:w w:val="105"/>
          <w:sz w:val="22"/>
        </w:rPr>
        <w:t> </w:t>
      </w:r>
      <w:r w:rsidRPr="00FF30BB">
        <w:rPr>
          <w:rFonts w:eastAsia="Calibri" w:cs="Arial"/>
          <w:w w:val="105"/>
          <w:sz w:val="22"/>
        </w:rPr>
        <w:tab/>
      </w:r>
      <w:r w:rsidRPr="00FF30BB">
        <w:rPr>
          <w:rFonts w:eastAsia="Calibri" w:cs="Arial"/>
          <w:w w:val="105"/>
          <w:sz w:val="22"/>
        </w:rPr>
        <w:tab/>
      </w:r>
      <w:r w:rsidRPr="00FF30BB">
        <w:rPr>
          <w:rFonts w:eastAsia="Calibri" w:cs="Arial"/>
          <w:b/>
          <w:w w:val="105"/>
          <w:sz w:val="22"/>
        </w:rPr>
        <w:t>:</w:t>
      </w:r>
      <w:r w:rsidRPr="00FF30BB">
        <w:rPr>
          <w:rFonts w:eastAsia="Calibri" w:cs="Arial"/>
          <w:w w:val="105"/>
          <w:sz w:val="22"/>
        </w:rPr>
        <w:t xml:space="preserve"> avantages comparatifs révélés </w:t>
      </w:r>
    </w:p>
    <w:p w14:paraId="4E455E81" w14:textId="77777777" w:rsidR="002016AE" w:rsidRPr="00FF30BB" w:rsidRDefault="002016AE" w:rsidP="002016AE">
      <w:pPr>
        <w:spacing w:after="0" w:line="240" w:lineRule="auto"/>
        <w:ind w:right="57"/>
        <w:rPr>
          <w:rFonts w:eastAsia="Calibri" w:cs="Arial"/>
          <w:w w:val="105"/>
          <w:sz w:val="22"/>
        </w:rPr>
      </w:pPr>
      <w:r w:rsidRPr="00FF30BB">
        <w:rPr>
          <w:rFonts w:eastAsia="Calibri" w:cs="Arial"/>
          <w:b/>
          <w:w w:val="105"/>
          <w:sz w:val="22"/>
        </w:rPr>
        <w:t>APE</w:t>
      </w:r>
      <w:r w:rsidRPr="00FF30BB">
        <w:rPr>
          <w:rFonts w:eastAsia="Calibri" w:cs="Arial"/>
          <w:w w:val="105"/>
          <w:sz w:val="22"/>
        </w:rPr>
        <w:t> </w:t>
      </w:r>
      <w:r w:rsidRPr="00FF30BB">
        <w:rPr>
          <w:rFonts w:eastAsia="Calibri" w:cs="Arial"/>
          <w:w w:val="105"/>
          <w:sz w:val="22"/>
        </w:rPr>
        <w:tab/>
      </w:r>
      <w:r w:rsidRPr="00FF30BB">
        <w:rPr>
          <w:rFonts w:eastAsia="Calibri" w:cs="Arial"/>
          <w:w w:val="105"/>
          <w:sz w:val="22"/>
        </w:rPr>
        <w:tab/>
      </w:r>
      <w:r w:rsidRPr="00FF30BB">
        <w:rPr>
          <w:rFonts w:eastAsia="Calibri" w:cs="Arial"/>
          <w:b/>
          <w:w w:val="105"/>
          <w:sz w:val="22"/>
        </w:rPr>
        <w:t>:</w:t>
      </w:r>
      <w:r w:rsidRPr="00FF30BB">
        <w:rPr>
          <w:rFonts w:eastAsia="Calibri" w:cs="Arial"/>
          <w:w w:val="105"/>
          <w:sz w:val="22"/>
        </w:rPr>
        <w:t xml:space="preserve"> Accord de Partenariat Economique </w:t>
      </w:r>
    </w:p>
    <w:p w14:paraId="564752E7" w14:textId="77777777" w:rsidR="002016AE" w:rsidRPr="00FF30BB" w:rsidRDefault="002016AE" w:rsidP="002016AE">
      <w:pPr>
        <w:spacing w:after="0" w:line="240" w:lineRule="auto"/>
        <w:ind w:right="57"/>
        <w:rPr>
          <w:rFonts w:cs="Arial"/>
          <w:bCs/>
          <w:w w:val="105"/>
          <w:sz w:val="22"/>
        </w:rPr>
      </w:pPr>
      <w:r w:rsidRPr="00FF30BB">
        <w:rPr>
          <w:rFonts w:cs="Arial"/>
          <w:b/>
          <w:bCs/>
          <w:w w:val="105"/>
          <w:sz w:val="22"/>
        </w:rPr>
        <w:t>ARMP </w:t>
      </w:r>
      <w:r w:rsidRPr="00FF30BB">
        <w:rPr>
          <w:rFonts w:cs="Arial"/>
          <w:b/>
          <w:bCs/>
          <w:w w:val="105"/>
          <w:sz w:val="22"/>
        </w:rPr>
        <w:tab/>
      </w:r>
      <w:r w:rsidRPr="00FF30BB">
        <w:rPr>
          <w:rFonts w:cs="Arial"/>
          <w:b/>
          <w:bCs/>
          <w:w w:val="105"/>
          <w:sz w:val="22"/>
        </w:rPr>
        <w:tab/>
        <w:t>:</w:t>
      </w:r>
      <w:r w:rsidRPr="00FF30BB">
        <w:rPr>
          <w:rFonts w:cs="Arial"/>
          <w:bCs/>
          <w:w w:val="105"/>
          <w:sz w:val="22"/>
        </w:rPr>
        <w:t xml:space="preserve"> Agence de Régulation des Marchés publics </w:t>
      </w:r>
    </w:p>
    <w:p w14:paraId="0944522C" w14:textId="77777777" w:rsidR="002016AE" w:rsidRPr="00FF30BB" w:rsidRDefault="002016AE" w:rsidP="002016AE">
      <w:pPr>
        <w:spacing w:after="0" w:line="240" w:lineRule="auto"/>
        <w:ind w:right="57"/>
        <w:rPr>
          <w:rFonts w:cs="Arial"/>
          <w:bCs/>
          <w:w w:val="105"/>
          <w:sz w:val="22"/>
        </w:rPr>
      </w:pPr>
      <w:r w:rsidRPr="00FF30BB">
        <w:rPr>
          <w:rFonts w:cs="Arial"/>
          <w:b/>
          <w:bCs/>
          <w:w w:val="105"/>
          <w:sz w:val="22"/>
        </w:rPr>
        <w:t>ARTP</w:t>
      </w:r>
      <w:r w:rsidRPr="00FF30BB">
        <w:rPr>
          <w:rFonts w:cs="Arial"/>
          <w:bCs/>
          <w:w w:val="105"/>
          <w:sz w:val="22"/>
        </w:rPr>
        <w:t> </w:t>
      </w:r>
      <w:r w:rsidRPr="00FF30BB">
        <w:rPr>
          <w:rFonts w:cs="Arial"/>
          <w:bCs/>
          <w:w w:val="105"/>
          <w:sz w:val="22"/>
        </w:rPr>
        <w:tab/>
      </w:r>
      <w:r w:rsidRPr="00FF30BB">
        <w:rPr>
          <w:rFonts w:cs="Arial"/>
          <w:bCs/>
          <w:w w:val="105"/>
          <w:sz w:val="22"/>
        </w:rPr>
        <w:tab/>
      </w:r>
      <w:r w:rsidRPr="00FF30BB">
        <w:rPr>
          <w:rFonts w:cs="Arial"/>
          <w:b/>
          <w:bCs/>
          <w:w w:val="105"/>
          <w:sz w:val="22"/>
        </w:rPr>
        <w:t>:</w:t>
      </w:r>
      <w:r w:rsidRPr="00FF30BB">
        <w:rPr>
          <w:rFonts w:cs="Arial"/>
          <w:bCs/>
          <w:w w:val="105"/>
          <w:sz w:val="22"/>
        </w:rPr>
        <w:t xml:space="preserve"> Agence de Régulation des Télécommunications et des Postes </w:t>
      </w:r>
    </w:p>
    <w:p w14:paraId="1D1104D4" w14:textId="77777777" w:rsidR="002016AE" w:rsidRPr="00FF30BB" w:rsidRDefault="002016AE" w:rsidP="002016AE">
      <w:pPr>
        <w:spacing w:after="0" w:line="240" w:lineRule="auto"/>
        <w:ind w:right="57"/>
        <w:rPr>
          <w:rFonts w:eastAsia="Calibri" w:cs="Arial"/>
          <w:w w:val="105"/>
          <w:sz w:val="22"/>
        </w:rPr>
      </w:pPr>
      <w:r w:rsidRPr="00FF30BB">
        <w:rPr>
          <w:rFonts w:eastAsia="Calibri" w:cs="Arial"/>
          <w:b/>
          <w:w w:val="105"/>
          <w:sz w:val="22"/>
        </w:rPr>
        <w:t>BAD</w:t>
      </w:r>
      <w:r w:rsidRPr="00FF30BB">
        <w:rPr>
          <w:rFonts w:eastAsia="Calibri" w:cs="Arial"/>
          <w:b/>
          <w:w w:val="105"/>
          <w:sz w:val="22"/>
        </w:rPr>
        <w:tab/>
      </w:r>
      <w:r w:rsidRPr="00FF30BB">
        <w:rPr>
          <w:rFonts w:eastAsia="Calibri" w:cs="Arial"/>
          <w:b/>
          <w:w w:val="105"/>
          <w:sz w:val="22"/>
        </w:rPr>
        <w:tab/>
        <w:t>:</w:t>
      </w:r>
      <w:r w:rsidRPr="00FF30BB">
        <w:rPr>
          <w:rFonts w:eastAsia="Calibri" w:cs="Arial"/>
          <w:w w:val="105"/>
          <w:sz w:val="22"/>
        </w:rPr>
        <w:t xml:space="preserve"> Banque africaine de Développement. </w:t>
      </w:r>
    </w:p>
    <w:p w14:paraId="30F2FE40" w14:textId="77777777" w:rsidR="002016AE" w:rsidRPr="00FF30BB" w:rsidRDefault="002016AE" w:rsidP="002016AE">
      <w:pPr>
        <w:spacing w:after="0" w:line="240" w:lineRule="auto"/>
        <w:ind w:right="57"/>
        <w:rPr>
          <w:rFonts w:eastAsia="Calibri" w:cs="Arial"/>
          <w:sz w:val="22"/>
        </w:rPr>
      </w:pPr>
      <w:r w:rsidRPr="00FF30BB">
        <w:rPr>
          <w:rFonts w:eastAsia="Calibri" w:cs="Arial"/>
          <w:b/>
          <w:sz w:val="22"/>
        </w:rPr>
        <w:t>BAOI</w:t>
      </w:r>
      <w:r w:rsidRPr="00FF30BB">
        <w:rPr>
          <w:rFonts w:eastAsia="Calibri" w:cs="Arial"/>
          <w:sz w:val="22"/>
        </w:rPr>
        <w:t> </w:t>
      </w:r>
      <w:r w:rsidRPr="00FF30BB">
        <w:rPr>
          <w:rFonts w:eastAsia="Calibri" w:cs="Arial"/>
          <w:sz w:val="22"/>
        </w:rPr>
        <w:tab/>
      </w:r>
      <w:r w:rsidRPr="00FF30BB">
        <w:rPr>
          <w:rFonts w:eastAsia="Calibri" w:cs="Arial"/>
          <w:sz w:val="22"/>
        </w:rPr>
        <w:tab/>
      </w:r>
      <w:r w:rsidRPr="00FF30BB">
        <w:rPr>
          <w:rFonts w:cs="Arial"/>
          <w:b/>
          <w:w w:val="105"/>
          <w:sz w:val="22"/>
        </w:rPr>
        <w:t>:</w:t>
      </w:r>
      <w:r w:rsidRPr="00FF30BB">
        <w:rPr>
          <w:rFonts w:eastAsia="Calibri" w:cs="Arial"/>
          <w:sz w:val="22"/>
        </w:rPr>
        <w:t xml:space="preserve"> Bureaux d’Accueil, d’Orientation et d’Information </w:t>
      </w:r>
    </w:p>
    <w:p w14:paraId="7510B0CB" w14:textId="36ECE7BB" w:rsidR="002016AE" w:rsidRPr="00FF30BB" w:rsidRDefault="002016AE" w:rsidP="002016AE">
      <w:pPr>
        <w:spacing w:after="0" w:line="240" w:lineRule="auto"/>
        <w:ind w:right="57"/>
        <w:rPr>
          <w:rFonts w:cs="Arial"/>
          <w:w w:val="105"/>
          <w:sz w:val="22"/>
        </w:rPr>
      </w:pPr>
      <w:r w:rsidRPr="00FF30BB">
        <w:rPr>
          <w:rFonts w:cs="Arial"/>
          <w:b/>
          <w:w w:val="105"/>
          <w:sz w:val="22"/>
        </w:rPr>
        <w:t>BCEAO </w:t>
      </w:r>
      <w:r w:rsidR="00FF30BB">
        <w:rPr>
          <w:rFonts w:cs="Arial"/>
          <w:b/>
          <w:w w:val="105"/>
          <w:sz w:val="22"/>
        </w:rPr>
        <w:tab/>
      </w:r>
      <w:r w:rsidRPr="00FF30BB">
        <w:rPr>
          <w:rFonts w:cs="Arial"/>
          <w:b/>
          <w:w w:val="105"/>
          <w:sz w:val="22"/>
        </w:rPr>
        <w:t xml:space="preserve">: </w:t>
      </w:r>
      <w:r w:rsidRPr="00FF30BB">
        <w:rPr>
          <w:rFonts w:cs="Arial"/>
          <w:w w:val="105"/>
          <w:sz w:val="22"/>
        </w:rPr>
        <w:t>Banque Centrale des Etats de l’Afrique de l’Ouest</w:t>
      </w:r>
    </w:p>
    <w:p w14:paraId="1C5B49E5" w14:textId="77777777" w:rsidR="002016AE" w:rsidRPr="00FF30BB" w:rsidRDefault="002016AE" w:rsidP="002016AE">
      <w:pPr>
        <w:spacing w:after="0" w:line="240" w:lineRule="auto"/>
        <w:ind w:right="57"/>
        <w:rPr>
          <w:rFonts w:cs="Arial"/>
          <w:sz w:val="22"/>
        </w:rPr>
      </w:pPr>
      <w:r w:rsidRPr="00FF30BB">
        <w:rPr>
          <w:rFonts w:cs="Arial"/>
          <w:b/>
          <w:sz w:val="22"/>
        </w:rPr>
        <w:t>CAP2025</w:t>
      </w:r>
      <w:r w:rsidRPr="00FF30BB">
        <w:rPr>
          <w:rFonts w:cs="Arial"/>
          <w:sz w:val="22"/>
        </w:rPr>
        <w:t> </w:t>
      </w:r>
      <w:r w:rsidRPr="00FF30BB">
        <w:rPr>
          <w:rFonts w:cs="Arial"/>
          <w:sz w:val="22"/>
        </w:rPr>
        <w:tab/>
      </w:r>
      <w:r w:rsidRPr="00FF30BB">
        <w:rPr>
          <w:rFonts w:cs="Arial"/>
          <w:b/>
          <w:sz w:val="22"/>
        </w:rPr>
        <w:t>:</w:t>
      </w:r>
      <w:r w:rsidRPr="00FF30BB">
        <w:rPr>
          <w:rFonts w:cs="Arial"/>
          <w:sz w:val="22"/>
        </w:rPr>
        <w:t xml:space="preserve"> Cadre d'Actions Prioritaires de la Commission de l'UEMOA 2021-2025 </w:t>
      </w:r>
    </w:p>
    <w:p w14:paraId="752E8A43" w14:textId="77777777" w:rsidR="002016AE" w:rsidRPr="00FF30BB" w:rsidRDefault="002016AE" w:rsidP="002016AE">
      <w:pPr>
        <w:spacing w:after="0" w:line="240" w:lineRule="auto"/>
        <w:ind w:right="57"/>
        <w:rPr>
          <w:rFonts w:cs="Arial"/>
          <w:sz w:val="22"/>
        </w:rPr>
      </w:pPr>
      <w:r w:rsidRPr="00FF30BB">
        <w:rPr>
          <w:rFonts w:cs="Arial"/>
          <w:b/>
          <w:sz w:val="22"/>
        </w:rPr>
        <w:t>CEAO</w:t>
      </w:r>
      <w:r w:rsidRPr="00FF30BB">
        <w:rPr>
          <w:rFonts w:cs="Arial"/>
          <w:sz w:val="22"/>
        </w:rPr>
        <w:t> </w:t>
      </w:r>
      <w:r w:rsidRPr="00FF30BB">
        <w:rPr>
          <w:rFonts w:cs="Arial"/>
          <w:sz w:val="22"/>
        </w:rPr>
        <w:tab/>
      </w:r>
      <w:r w:rsidRPr="00FF30BB">
        <w:rPr>
          <w:rFonts w:cs="Arial"/>
          <w:sz w:val="22"/>
        </w:rPr>
        <w:tab/>
      </w:r>
      <w:r w:rsidRPr="00FF30BB">
        <w:rPr>
          <w:rFonts w:cs="Arial"/>
          <w:b/>
          <w:sz w:val="22"/>
        </w:rPr>
        <w:t>:</w:t>
      </w:r>
      <w:r w:rsidRPr="00FF30BB">
        <w:rPr>
          <w:rFonts w:cs="Arial"/>
          <w:sz w:val="22"/>
        </w:rPr>
        <w:t xml:space="preserve"> Communauté Economique de l’Afrique de l’Ouest</w:t>
      </w:r>
    </w:p>
    <w:p w14:paraId="157B35C3" w14:textId="77777777" w:rsidR="002016AE" w:rsidRPr="00FF30BB" w:rsidRDefault="002016AE" w:rsidP="002016AE">
      <w:pPr>
        <w:spacing w:after="0" w:line="240" w:lineRule="auto"/>
        <w:ind w:right="57"/>
        <w:rPr>
          <w:rFonts w:cs="Arial"/>
          <w:sz w:val="22"/>
        </w:rPr>
      </w:pPr>
      <w:r w:rsidRPr="00FF30BB">
        <w:rPr>
          <w:rFonts w:cs="Arial"/>
          <w:b/>
          <w:sz w:val="22"/>
        </w:rPr>
        <w:t>CEDEAO</w:t>
      </w:r>
      <w:r w:rsidRPr="00FF30BB">
        <w:rPr>
          <w:rFonts w:cs="Arial"/>
          <w:sz w:val="22"/>
        </w:rPr>
        <w:t> </w:t>
      </w:r>
      <w:r w:rsidRPr="00FF30BB">
        <w:rPr>
          <w:rFonts w:cs="Arial"/>
          <w:sz w:val="22"/>
        </w:rPr>
        <w:tab/>
      </w:r>
      <w:r w:rsidRPr="00FF30BB">
        <w:rPr>
          <w:rFonts w:cs="Arial"/>
          <w:b/>
          <w:sz w:val="22"/>
        </w:rPr>
        <w:t xml:space="preserve">: </w:t>
      </w:r>
      <w:r w:rsidRPr="00FF30BB">
        <w:rPr>
          <w:rFonts w:cs="Arial"/>
          <w:sz w:val="22"/>
        </w:rPr>
        <w:t>Communauté Economique des Etats de l’Afrique de l’Ouest</w:t>
      </w:r>
    </w:p>
    <w:p w14:paraId="32CA3269" w14:textId="77777777" w:rsidR="002016AE" w:rsidRPr="00FF30BB" w:rsidRDefault="002016AE" w:rsidP="002016AE">
      <w:pPr>
        <w:spacing w:after="0" w:line="240" w:lineRule="auto"/>
        <w:ind w:right="57"/>
        <w:rPr>
          <w:rFonts w:cs="Arial"/>
          <w:sz w:val="22"/>
        </w:rPr>
      </w:pPr>
      <w:r w:rsidRPr="00FF30BB">
        <w:rPr>
          <w:rFonts w:cs="Arial"/>
          <w:b/>
          <w:sz w:val="22"/>
        </w:rPr>
        <w:t>CER</w:t>
      </w:r>
      <w:r w:rsidRPr="00FF30BB">
        <w:rPr>
          <w:rFonts w:cs="Arial"/>
          <w:sz w:val="22"/>
        </w:rPr>
        <w:t> </w:t>
      </w:r>
      <w:r w:rsidRPr="00FF30BB">
        <w:rPr>
          <w:rFonts w:cs="Arial"/>
          <w:sz w:val="22"/>
        </w:rPr>
        <w:tab/>
      </w:r>
      <w:r w:rsidRPr="00FF30BB">
        <w:rPr>
          <w:rFonts w:cs="Arial"/>
          <w:sz w:val="22"/>
        </w:rPr>
        <w:tab/>
      </w:r>
      <w:r w:rsidRPr="00FF30BB">
        <w:rPr>
          <w:rFonts w:cs="Arial"/>
          <w:b/>
          <w:sz w:val="22"/>
        </w:rPr>
        <w:t>:</w:t>
      </w:r>
      <w:r w:rsidRPr="00FF30BB">
        <w:rPr>
          <w:rFonts w:cs="Arial"/>
          <w:sz w:val="22"/>
        </w:rPr>
        <w:t xml:space="preserve"> communautés économiques régionales </w:t>
      </w:r>
    </w:p>
    <w:p w14:paraId="11FCC54E" w14:textId="77777777" w:rsidR="002016AE" w:rsidRPr="00FF30BB" w:rsidRDefault="002016AE" w:rsidP="002016AE">
      <w:pPr>
        <w:spacing w:after="0" w:line="240" w:lineRule="auto"/>
        <w:ind w:right="57"/>
        <w:rPr>
          <w:rFonts w:cs="Arial"/>
          <w:w w:val="105"/>
          <w:sz w:val="22"/>
        </w:rPr>
      </w:pPr>
      <w:r w:rsidRPr="00FF30BB">
        <w:rPr>
          <w:rFonts w:cs="Arial"/>
          <w:b/>
          <w:w w:val="105"/>
          <w:sz w:val="22"/>
        </w:rPr>
        <w:t>CESE</w:t>
      </w:r>
      <w:r w:rsidRPr="00FF30BB">
        <w:rPr>
          <w:rFonts w:cs="Arial"/>
          <w:w w:val="105"/>
          <w:sz w:val="22"/>
        </w:rPr>
        <w:t> </w:t>
      </w:r>
      <w:r w:rsidRPr="00FF30BB">
        <w:rPr>
          <w:rFonts w:cs="Arial"/>
          <w:w w:val="105"/>
          <w:sz w:val="22"/>
        </w:rPr>
        <w:tab/>
      </w:r>
      <w:r w:rsidRPr="00FF30BB">
        <w:rPr>
          <w:rFonts w:cs="Arial"/>
          <w:w w:val="105"/>
          <w:sz w:val="22"/>
        </w:rPr>
        <w:tab/>
      </w:r>
      <w:r w:rsidRPr="00FF30BB">
        <w:rPr>
          <w:rFonts w:cs="Arial"/>
          <w:b/>
          <w:w w:val="105"/>
          <w:sz w:val="22"/>
        </w:rPr>
        <w:t>:</w:t>
      </w:r>
      <w:r w:rsidRPr="00FF30BB">
        <w:rPr>
          <w:rFonts w:cs="Arial"/>
          <w:w w:val="105"/>
          <w:sz w:val="22"/>
        </w:rPr>
        <w:t xml:space="preserve"> Conseil Economique Social et Environnemental</w:t>
      </w:r>
    </w:p>
    <w:p w14:paraId="292A0F0A" w14:textId="77777777" w:rsidR="002016AE" w:rsidRPr="00FF30BB" w:rsidRDefault="002016AE" w:rsidP="002016AE">
      <w:pPr>
        <w:spacing w:after="0" w:line="240" w:lineRule="auto"/>
        <w:ind w:right="57"/>
        <w:rPr>
          <w:rFonts w:cs="Arial"/>
          <w:w w:val="105"/>
          <w:sz w:val="22"/>
        </w:rPr>
      </w:pPr>
      <w:r w:rsidRPr="00FF30BB">
        <w:rPr>
          <w:rFonts w:cs="Arial"/>
          <w:b/>
          <w:w w:val="105"/>
          <w:sz w:val="22"/>
        </w:rPr>
        <w:t>CNPE</w:t>
      </w:r>
      <w:r w:rsidRPr="00FF30BB">
        <w:rPr>
          <w:rFonts w:cs="Arial"/>
          <w:w w:val="105"/>
          <w:sz w:val="22"/>
        </w:rPr>
        <w:t> </w:t>
      </w:r>
      <w:r w:rsidRPr="00FF30BB">
        <w:rPr>
          <w:rFonts w:cs="Arial"/>
          <w:w w:val="105"/>
          <w:sz w:val="22"/>
        </w:rPr>
        <w:tab/>
      </w:r>
      <w:r w:rsidRPr="00FF30BB">
        <w:rPr>
          <w:rFonts w:cs="Arial"/>
          <w:w w:val="105"/>
          <w:sz w:val="22"/>
        </w:rPr>
        <w:tab/>
      </w:r>
      <w:r w:rsidRPr="00FF30BB">
        <w:rPr>
          <w:rFonts w:cs="Arial"/>
          <w:b/>
          <w:w w:val="105"/>
          <w:sz w:val="22"/>
        </w:rPr>
        <w:t>:</w:t>
      </w:r>
      <w:r w:rsidRPr="00FF30BB">
        <w:rPr>
          <w:rFonts w:cs="Arial"/>
          <w:w w:val="105"/>
          <w:sz w:val="22"/>
        </w:rPr>
        <w:t xml:space="preserve"> Comité national de Politique économique  </w:t>
      </w:r>
    </w:p>
    <w:p w14:paraId="4D8FB3F8" w14:textId="77777777" w:rsidR="002016AE" w:rsidRPr="00FF30BB" w:rsidRDefault="002016AE" w:rsidP="002016AE">
      <w:pPr>
        <w:spacing w:after="0" w:line="240" w:lineRule="auto"/>
        <w:ind w:right="57"/>
        <w:rPr>
          <w:rFonts w:cs="Arial"/>
          <w:bCs/>
          <w:w w:val="105"/>
          <w:sz w:val="22"/>
        </w:rPr>
      </w:pPr>
      <w:r w:rsidRPr="00FF30BB">
        <w:rPr>
          <w:rFonts w:cs="Arial"/>
          <w:b/>
          <w:bCs/>
          <w:w w:val="105"/>
          <w:sz w:val="22"/>
        </w:rPr>
        <w:t>CNRA</w:t>
      </w:r>
      <w:r w:rsidRPr="00FF30BB">
        <w:rPr>
          <w:rFonts w:cs="Arial"/>
          <w:bCs/>
          <w:w w:val="105"/>
          <w:sz w:val="22"/>
        </w:rPr>
        <w:t> </w:t>
      </w:r>
      <w:r w:rsidRPr="00FF30BB">
        <w:rPr>
          <w:rFonts w:cs="Arial"/>
          <w:bCs/>
          <w:w w:val="105"/>
          <w:sz w:val="22"/>
        </w:rPr>
        <w:tab/>
      </w:r>
      <w:r w:rsidRPr="00FF30BB">
        <w:rPr>
          <w:rFonts w:cs="Arial"/>
          <w:bCs/>
          <w:w w:val="105"/>
          <w:sz w:val="22"/>
        </w:rPr>
        <w:tab/>
      </w:r>
      <w:r w:rsidRPr="00FF30BB">
        <w:rPr>
          <w:rFonts w:cs="Arial"/>
          <w:b/>
          <w:bCs/>
          <w:w w:val="105"/>
          <w:sz w:val="22"/>
        </w:rPr>
        <w:t>:</w:t>
      </w:r>
      <w:r w:rsidRPr="00FF30BB">
        <w:rPr>
          <w:rFonts w:cs="Arial"/>
          <w:bCs/>
          <w:w w:val="105"/>
          <w:sz w:val="22"/>
        </w:rPr>
        <w:t xml:space="preserve"> Conseil National de Régulation de l’Audiovisuel </w:t>
      </w:r>
    </w:p>
    <w:p w14:paraId="1CF819EC" w14:textId="77777777" w:rsidR="002016AE" w:rsidRPr="00FF30BB" w:rsidRDefault="002016AE" w:rsidP="002016AE">
      <w:pPr>
        <w:spacing w:after="0" w:line="240" w:lineRule="auto"/>
        <w:ind w:right="57"/>
        <w:rPr>
          <w:rFonts w:cs="Arial"/>
          <w:w w:val="105"/>
          <w:sz w:val="22"/>
        </w:rPr>
      </w:pPr>
      <w:r w:rsidRPr="00FF30BB">
        <w:rPr>
          <w:rFonts w:cs="Arial"/>
          <w:b/>
          <w:w w:val="105"/>
          <w:sz w:val="22"/>
        </w:rPr>
        <w:t>CNSPER </w:t>
      </w:r>
      <w:r w:rsidRPr="00FF30BB">
        <w:rPr>
          <w:rFonts w:cs="Arial"/>
          <w:b/>
          <w:w w:val="105"/>
          <w:sz w:val="22"/>
        </w:rPr>
        <w:tab/>
        <w:t xml:space="preserve">: </w:t>
      </w:r>
      <w:r w:rsidRPr="00FF30BB">
        <w:rPr>
          <w:rFonts w:cs="Arial"/>
          <w:w w:val="105"/>
          <w:sz w:val="22"/>
        </w:rPr>
        <w:t>Cellule nationale de Suivi du Programme Economique Régional de l’UEMOA</w:t>
      </w:r>
    </w:p>
    <w:p w14:paraId="75072AA1" w14:textId="77777777" w:rsidR="002016AE" w:rsidRPr="00FF30BB" w:rsidRDefault="002016AE" w:rsidP="002016AE">
      <w:pPr>
        <w:spacing w:after="0" w:line="240" w:lineRule="auto"/>
        <w:ind w:right="57"/>
        <w:rPr>
          <w:rFonts w:cs="Arial"/>
          <w:w w:val="105"/>
          <w:sz w:val="22"/>
        </w:rPr>
      </w:pPr>
      <w:r w:rsidRPr="00FF30BB">
        <w:rPr>
          <w:rFonts w:cs="Arial"/>
          <w:b/>
          <w:w w:val="105"/>
          <w:sz w:val="22"/>
        </w:rPr>
        <w:t>CNUCED</w:t>
      </w:r>
      <w:r w:rsidRPr="00FF30BB">
        <w:rPr>
          <w:rFonts w:cs="Arial"/>
          <w:w w:val="105"/>
          <w:sz w:val="22"/>
        </w:rPr>
        <w:t> </w:t>
      </w:r>
      <w:r w:rsidRPr="00FF30BB">
        <w:rPr>
          <w:rFonts w:cs="Arial"/>
          <w:w w:val="105"/>
          <w:sz w:val="22"/>
        </w:rPr>
        <w:tab/>
      </w:r>
      <w:r w:rsidRPr="00FF30BB">
        <w:rPr>
          <w:rFonts w:cs="Arial"/>
          <w:b/>
          <w:w w:val="105"/>
          <w:sz w:val="22"/>
        </w:rPr>
        <w:t>:</w:t>
      </w:r>
      <w:r w:rsidRPr="00FF30BB">
        <w:rPr>
          <w:rFonts w:cs="Arial"/>
          <w:w w:val="105"/>
          <w:sz w:val="22"/>
        </w:rPr>
        <w:t> Conférence des Nations Unies sur le Commerce et le Développement</w:t>
      </w:r>
    </w:p>
    <w:p w14:paraId="2EFB4FA9" w14:textId="77777777" w:rsidR="002016AE" w:rsidRPr="00FF30BB" w:rsidRDefault="002016AE" w:rsidP="002016AE">
      <w:pPr>
        <w:spacing w:after="0" w:line="240" w:lineRule="auto"/>
        <w:ind w:right="57"/>
        <w:rPr>
          <w:rFonts w:cs="Arial"/>
          <w:bCs/>
          <w:w w:val="105"/>
          <w:sz w:val="22"/>
        </w:rPr>
      </w:pPr>
      <w:r w:rsidRPr="00FF30BB">
        <w:rPr>
          <w:rFonts w:cs="Arial"/>
          <w:b/>
          <w:bCs/>
          <w:w w:val="105"/>
          <w:sz w:val="22"/>
        </w:rPr>
        <w:t>CRSE</w:t>
      </w:r>
      <w:r w:rsidRPr="00FF30BB">
        <w:rPr>
          <w:rFonts w:cs="Arial"/>
          <w:bCs/>
          <w:w w:val="105"/>
          <w:sz w:val="22"/>
        </w:rPr>
        <w:t> </w:t>
      </w:r>
      <w:r w:rsidRPr="00FF30BB">
        <w:rPr>
          <w:rFonts w:cs="Arial"/>
          <w:bCs/>
          <w:w w:val="105"/>
          <w:sz w:val="22"/>
        </w:rPr>
        <w:tab/>
      </w:r>
      <w:r w:rsidRPr="00FF30BB">
        <w:rPr>
          <w:rFonts w:cs="Arial"/>
          <w:bCs/>
          <w:w w:val="105"/>
          <w:sz w:val="22"/>
        </w:rPr>
        <w:tab/>
      </w:r>
      <w:r w:rsidRPr="00FF30BB">
        <w:rPr>
          <w:rFonts w:cs="Arial"/>
          <w:b/>
          <w:bCs/>
          <w:w w:val="105"/>
          <w:sz w:val="22"/>
        </w:rPr>
        <w:t>:</w:t>
      </w:r>
      <w:r w:rsidRPr="00FF30BB">
        <w:rPr>
          <w:rFonts w:cs="Arial"/>
          <w:bCs/>
          <w:w w:val="105"/>
          <w:sz w:val="22"/>
        </w:rPr>
        <w:t xml:space="preserve"> Commission de Régulation du secteur de l’Electricité </w:t>
      </w:r>
    </w:p>
    <w:p w14:paraId="7A2BD2E5" w14:textId="77777777" w:rsidR="002016AE" w:rsidRPr="00FF30BB" w:rsidRDefault="002016AE" w:rsidP="002016AE">
      <w:pPr>
        <w:spacing w:after="0" w:line="240" w:lineRule="auto"/>
        <w:ind w:right="57"/>
        <w:rPr>
          <w:rFonts w:cs="Arial"/>
          <w:w w:val="105"/>
          <w:sz w:val="22"/>
        </w:rPr>
      </w:pPr>
      <w:r w:rsidRPr="00FF30BB">
        <w:rPr>
          <w:rFonts w:cs="Arial"/>
          <w:b/>
          <w:w w:val="105"/>
          <w:sz w:val="22"/>
        </w:rPr>
        <w:t>CSI </w:t>
      </w:r>
      <w:r w:rsidRPr="00FF30BB">
        <w:rPr>
          <w:rFonts w:cs="Arial"/>
          <w:b/>
          <w:w w:val="105"/>
          <w:sz w:val="22"/>
        </w:rPr>
        <w:tab/>
      </w:r>
      <w:r w:rsidRPr="00FF30BB">
        <w:rPr>
          <w:rFonts w:cs="Arial"/>
          <w:b/>
          <w:w w:val="105"/>
          <w:sz w:val="22"/>
        </w:rPr>
        <w:tab/>
        <w:t xml:space="preserve">: </w:t>
      </w:r>
      <w:r w:rsidRPr="00FF30BB">
        <w:rPr>
          <w:rFonts w:cs="Arial"/>
          <w:w w:val="105"/>
          <w:sz w:val="22"/>
        </w:rPr>
        <w:t xml:space="preserve">Cellule de Suivi de l’Intégration </w:t>
      </w:r>
    </w:p>
    <w:p w14:paraId="7E46867C" w14:textId="77777777" w:rsidR="002016AE" w:rsidRPr="00FF30BB" w:rsidRDefault="002016AE" w:rsidP="002016AE">
      <w:pPr>
        <w:spacing w:after="0" w:line="240" w:lineRule="auto"/>
        <w:ind w:right="57"/>
        <w:rPr>
          <w:rFonts w:eastAsia="Calibri" w:cs="Arial"/>
          <w:sz w:val="22"/>
        </w:rPr>
      </w:pPr>
      <w:r w:rsidRPr="00FF30BB">
        <w:rPr>
          <w:rFonts w:eastAsia="Calibri" w:cs="Arial"/>
          <w:b/>
          <w:sz w:val="22"/>
        </w:rPr>
        <w:t>CTS</w:t>
      </w:r>
      <w:r w:rsidRPr="00FF30BB">
        <w:rPr>
          <w:rFonts w:eastAsia="Calibri" w:cs="Arial"/>
          <w:sz w:val="22"/>
        </w:rPr>
        <w:t> </w:t>
      </w:r>
      <w:r w:rsidRPr="00FF30BB">
        <w:rPr>
          <w:rFonts w:eastAsia="Calibri" w:cs="Arial"/>
          <w:sz w:val="22"/>
        </w:rPr>
        <w:tab/>
      </w:r>
      <w:r w:rsidRPr="00FF30BB">
        <w:rPr>
          <w:rFonts w:eastAsia="Calibri" w:cs="Arial"/>
          <w:sz w:val="22"/>
        </w:rPr>
        <w:tab/>
      </w:r>
      <w:r w:rsidRPr="00FF30BB">
        <w:rPr>
          <w:rFonts w:eastAsia="Calibri" w:cs="Arial"/>
          <w:b/>
          <w:sz w:val="22"/>
        </w:rPr>
        <w:t>:</w:t>
      </w:r>
      <w:r w:rsidRPr="00FF30BB">
        <w:rPr>
          <w:rFonts w:eastAsia="Calibri" w:cs="Arial"/>
          <w:sz w:val="22"/>
        </w:rPr>
        <w:t xml:space="preserve"> Comité Technique de Suivi </w:t>
      </w:r>
    </w:p>
    <w:p w14:paraId="72A24771" w14:textId="77777777" w:rsidR="002016AE" w:rsidRPr="00FF30BB" w:rsidRDefault="002016AE" w:rsidP="002016AE">
      <w:pPr>
        <w:spacing w:after="0" w:line="240" w:lineRule="auto"/>
        <w:ind w:right="57"/>
        <w:rPr>
          <w:rFonts w:eastAsia="Calibri" w:cs="Arial"/>
          <w:sz w:val="22"/>
        </w:rPr>
      </w:pPr>
      <w:r w:rsidRPr="00FF30BB">
        <w:rPr>
          <w:rFonts w:eastAsia="Calibri" w:cs="Arial"/>
          <w:b/>
          <w:sz w:val="22"/>
        </w:rPr>
        <w:t>DCSI</w:t>
      </w:r>
      <w:r w:rsidRPr="00FF30BB">
        <w:rPr>
          <w:rFonts w:eastAsia="Calibri" w:cs="Arial"/>
          <w:sz w:val="22"/>
        </w:rPr>
        <w:t> </w:t>
      </w:r>
      <w:r w:rsidRPr="00FF30BB">
        <w:rPr>
          <w:rFonts w:eastAsia="Calibri" w:cs="Arial"/>
          <w:sz w:val="22"/>
        </w:rPr>
        <w:tab/>
      </w:r>
      <w:r w:rsidRPr="00FF30BB">
        <w:rPr>
          <w:rFonts w:eastAsia="Calibri" w:cs="Arial"/>
          <w:sz w:val="22"/>
        </w:rPr>
        <w:tab/>
      </w:r>
      <w:r w:rsidRPr="00FF30BB">
        <w:rPr>
          <w:rFonts w:eastAsia="Calibri" w:cs="Arial"/>
          <w:b/>
          <w:sz w:val="22"/>
        </w:rPr>
        <w:t>:</w:t>
      </w:r>
      <w:r w:rsidRPr="00FF30BB">
        <w:rPr>
          <w:rFonts w:eastAsia="Calibri" w:cs="Arial"/>
          <w:sz w:val="22"/>
        </w:rPr>
        <w:t xml:space="preserve"> Direction de la Coordination et du Suivi de l’Intégration</w:t>
      </w:r>
    </w:p>
    <w:p w14:paraId="569BB8C1" w14:textId="77777777" w:rsidR="002016AE" w:rsidRPr="00FF30BB" w:rsidRDefault="002016AE" w:rsidP="002016AE">
      <w:pPr>
        <w:spacing w:after="0" w:line="240" w:lineRule="auto"/>
        <w:ind w:right="57"/>
        <w:rPr>
          <w:rFonts w:eastAsia="Calibri" w:cs="Arial"/>
          <w:sz w:val="22"/>
        </w:rPr>
      </w:pPr>
      <w:r w:rsidRPr="00FF30BB">
        <w:rPr>
          <w:rFonts w:eastAsia="Calibri" w:cs="Arial"/>
          <w:b/>
          <w:sz w:val="22"/>
        </w:rPr>
        <w:t>DGPPE</w:t>
      </w:r>
      <w:r w:rsidRPr="00FF30BB">
        <w:rPr>
          <w:rFonts w:eastAsia="Calibri" w:cs="Arial"/>
          <w:sz w:val="22"/>
        </w:rPr>
        <w:t> </w:t>
      </w:r>
      <w:r w:rsidRPr="00FF30BB">
        <w:rPr>
          <w:rFonts w:eastAsia="Calibri" w:cs="Arial"/>
          <w:sz w:val="22"/>
        </w:rPr>
        <w:tab/>
      </w:r>
      <w:r w:rsidRPr="00FF30BB">
        <w:rPr>
          <w:rFonts w:eastAsia="Calibri" w:cs="Arial"/>
          <w:sz w:val="22"/>
        </w:rPr>
        <w:tab/>
      </w:r>
      <w:r w:rsidRPr="00FF30BB">
        <w:rPr>
          <w:rFonts w:eastAsia="Calibri" w:cs="Arial"/>
          <w:b/>
          <w:sz w:val="22"/>
        </w:rPr>
        <w:t>:</w:t>
      </w:r>
      <w:r w:rsidRPr="00FF30BB">
        <w:rPr>
          <w:rFonts w:eastAsia="Calibri" w:cs="Arial"/>
          <w:sz w:val="22"/>
        </w:rPr>
        <w:t xml:space="preserve"> Direction Générale de la Planification et des Politiques Economiques</w:t>
      </w:r>
    </w:p>
    <w:p w14:paraId="2F0BA3F3" w14:textId="77777777" w:rsidR="002016AE" w:rsidRPr="0080403F" w:rsidRDefault="002016AE" w:rsidP="002016AE">
      <w:pPr>
        <w:spacing w:after="0" w:line="240" w:lineRule="auto"/>
        <w:ind w:right="57"/>
        <w:rPr>
          <w:rFonts w:cs="Arial"/>
          <w:b/>
          <w:bCs/>
          <w:sz w:val="22"/>
        </w:rPr>
      </w:pPr>
      <w:r w:rsidRPr="0080403F">
        <w:rPr>
          <w:rFonts w:cs="Arial"/>
          <w:b/>
          <w:bCs/>
          <w:sz w:val="22"/>
        </w:rPr>
        <w:t>ECOMOG</w:t>
      </w:r>
      <w:r w:rsidRPr="0080403F">
        <w:rPr>
          <w:rFonts w:cs="Arial"/>
          <w:b/>
          <w:bCs/>
          <w:sz w:val="22"/>
        </w:rPr>
        <w:tab/>
        <w:t xml:space="preserve">: </w:t>
      </w:r>
      <w:r w:rsidRPr="00FF30BB">
        <w:rPr>
          <w:rFonts w:cs="Arial"/>
          <w:bCs/>
          <w:sz w:val="22"/>
        </w:rPr>
        <w:t>Force de la CEDEAO de Maintien de la Paix en Gambie</w:t>
      </w:r>
    </w:p>
    <w:p w14:paraId="6C9D60F7" w14:textId="77777777" w:rsidR="002016AE" w:rsidRPr="0080403F" w:rsidRDefault="002016AE" w:rsidP="002016AE">
      <w:pPr>
        <w:spacing w:after="0" w:line="240" w:lineRule="auto"/>
        <w:ind w:right="57"/>
        <w:rPr>
          <w:rFonts w:cs="Arial"/>
          <w:w w:val="105"/>
          <w:sz w:val="22"/>
        </w:rPr>
      </w:pPr>
      <w:r w:rsidRPr="0080403F">
        <w:rPr>
          <w:rFonts w:cs="Arial"/>
          <w:b/>
          <w:w w:val="105"/>
          <w:sz w:val="22"/>
        </w:rPr>
        <w:t>GATT</w:t>
      </w:r>
      <w:r w:rsidRPr="0080403F">
        <w:rPr>
          <w:rFonts w:cs="Arial"/>
          <w:b/>
          <w:w w:val="105"/>
          <w:sz w:val="22"/>
        </w:rPr>
        <w:tab/>
      </w:r>
      <w:r w:rsidRPr="0080403F">
        <w:rPr>
          <w:rFonts w:cs="Arial"/>
          <w:b/>
          <w:w w:val="105"/>
          <w:sz w:val="22"/>
        </w:rPr>
        <w:tab/>
        <w:t>:</w:t>
      </w:r>
      <w:r w:rsidRPr="0080403F">
        <w:rPr>
          <w:rFonts w:cs="Arial"/>
          <w:w w:val="105"/>
          <w:sz w:val="22"/>
        </w:rPr>
        <w:t xml:space="preserve"> </w:t>
      </w:r>
      <w:r w:rsidRPr="00FF30BB">
        <w:rPr>
          <w:rFonts w:cs="Arial"/>
          <w:w w:val="105"/>
          <w:sz w:val="22"/>
        </w:rPr>
        <w:t>Accord général sur le Commerce des Marchandises</w:t>
      </w:r>
    </w:p>
    <w:p w14:paraId="6C9DCCB4" w14:textId="77777777" w:rsidR="002016AE" w:rsidRPr="00FF30BB" w:rsidRDefault="002016AE" w:rsidP="002016AE">
      <w:pPr>
        <w:spacing w:after="0" w:line="240" w:lineRule="auto"/>
        <w:ind w:right="57"/>
        <w:rPr>
          <w:rFonts w:cs="Arial"/>
          <w:w w:val="105"/>
          <w:sz w:val="22"/>
        </w:rPr>
      </w:pPr>
      <w:r w:rsidRPr="00FF30BB">
        <w:rPr>
          <w:rFonts w:cs="Arial"/>
          <w:b/>
          <w:w w:val="105"/>
          <w:sz w:val="22"/>
        </w:rPr>
        <w:t>IIAG</w:t>
      </w:r>
      <w:r w:rsidRPr="00FF30BB">
        <w:rPr>
          <w:rFonts w:cs="Arial"/>
          <w:w w:val="105"/>
          <w:sz w:val="22"/>
        </w:rPr>
        <w:t> </w:t>
      </w:r>
      <w:r w:rsidRPr="00FF30BB">
        <w:rPr>
          <w:rFonts w:cs="Arial"/>
          <w:w w:val="105"/>
          <w:sz w:val="22"/>
        </w:rPr>
        <w:tab/>
      </w:r>
      <w:r w:rsidRPr="00FF30BB">
        <w:rPr>
          <w:rFonts w:cs="Arial"/>
          <w:w w:val="105"/>
          <w:sz w:val="22"/>
        </w:rPr>
        <w:tab/>
      </w:r>
      <w:r w:rsidRPr="00FF30BB">
        <w:rPr>
          <w:rFonts w:cs="Arial"/>
          <w:b/>
          <w:w w:val="105"/>
          <w:sz w:val="22"/>
        </w:rPr>
        <w:t>:</w:t>
      </w:r>
      <w:r w:rsidRPr="00FF30BB">
        <w:rPr>
          <w:rFonts w:cs="Arial"/>
          <w:w w:val="105"/>
          <w:sz w:val="22"/>
        </w:rPr>
        <w:t xml:space="preserve"> Indice Ibrahim de la Gouvernance en Afrique </w:t>
      </w:r>
    </w:p>
    <w:p w14:paraId="7CC301A9" w14:textId="77777777" w:rsidR="002016AE" w:rsidRPr="00FF30BB" w:rsidRDefault="002016AE" w:rsidP="002016AE">
      <w:pPr>
        <w:spacing w:after="0" w:line="240" w:lineRule="auto"/>
        <w:ind w:right="57"/>
        <w:rPr>
          <w:rFonts w:cs="Arial"/>
          <w:w w:val="105"/>
          <w:sz w:val="22"/>
        </w:rPr>
      </w:pPr>
      <w:r w:rsidRPr="00FF30BB">
        <w:rPr>
          <w:rFonts w:cs="Arial"/>
          <w:b/>
          <w:w w:val="105"/>
          <w:sz w:val="22"/>
        </w:rPr>
        <w:t>IPAR</w:t>
      </w:r>
      <w:r w:rsidRPr="00FF30BB">
        <w:rPr>
          <w:rFonts w:cs="Arial"/>
          <w:w w:val="105"/>
          <w:sz w:val="22"/>
        </w:rPr>
        <w:t> </w:t>
      </w:r>
      <w:r w:rsidRPr="00FF30BB">
        <w:rPr>
          <w:rFonts w:cs="Arial"/>
          <w:w w:val="105"/>
          <w:sz w:val="22"/>
        </w:rPr>
        <w:tab/>
      </w:r>
      <w:r w:rsidRPr="00FF30BB">
        <w:rPr>
          <w:rFonts w:cs="Arial"/>
          <w:w w:val="105"/>
          <w:sz w:val="22"/>
        </w:rPr>
        <w:tab/>
      </w:r>
      <w:r w:rsidRPr="00FF30BB">
        <w:rPr>
          <w:rFonts w:cs="Arial"/>
          <w:b/>
          <w:w w:val="105"/>
          <w:sz w:val="22"/>
        </w:rPr>
        <w:t>:</w:t>
      </w:r>
      <w:r w:rsidRPr="00FF30BB">
        <w:rPr>
          <w:rFonts w:cs="Arial"/>
          <w:w w:val="105"/>
          <w:sz w:val="22"/>
        </w:rPr>
        <w:t xml:space="preserve"> Initiative Prospective agricole et rurale</w:t>
      </w:r>
    </w:p>
    <w:p w14:paraId="60239C5D" w14:textId="77777777" w:rsidR="002016AE" w:rsidRPr="00FF30BB" w:rsidRDefault="002016AE" w:rsidP="002016AE">
      <w:pPr>
        <w:spacing w:after="0" w:line="240" w:lineRule="auto"/>
        <w:ind w:right="57"/>
        <w:rPr>
          <w:rFonts w:cs="Arial"/>
          <w:b/>
          <w:bCs/>
          <w:w w:val="105"/>
          <w:sz w:val="22"/>
        </w:rPr>
      </w:pPr>
      <w:r w:rsidRPr="00FF30BB">
        <w:rPr>
          <w:rFonts w:cs="Arial"/>
          <w:b/>
          <w:bCs/>
          <w:w w:val="105"/>
          <w:sz w:val="22"/>
        </w:rPr>
        <w:t>MAEP </w:t>
      </w:r>
      <w:r w:rsidRPr="00FF30BB">
        <w:rPr>
          <w:rFonts w:cs="Arial"/>
          <w:b/>
          <w:bCs/>
          <w:w w:val="105"/>
          <w:sz w:val="22"/>
        </w:rPr>
        <w:tab/>
      </w:r>
      <w:r w:rsidRPr="00FF30BB">
        <w:rPr>
          <w:rFonts w:cs="Arial"/>
          <w:b/>
          <w:bCs/>
          <w:w w:val="105"/>
          <w:sz w:val="22"/>
        </w:rPr>
        <w:tab/>
        <w:t>:</w:t>
      </w:r>
      <w:r w:rsidRPr="00FF30BB">
        <w:rPr>
          <w:sz w:val="22"/>
        </w:rPr>
        <w:t xml:space="preserve"> </w:t>
      </w:r>
      <w:r w:rsidRPr="00FF30BB">
        <w:rPr>
          <w:rFonts w:cs="Arial"/>
          <w:w w:val="105"/>
          <w:sz w:val="22"/>
        </w:rPr>
        <w:t>Mécanisme Africain d’Evaluation par les Pairs</w:t>
      </w:r>
    </w:p>
    <w:p w14:paraId="5132923F" w14:textId="77777777" w:rsidR="002016AE" w:rsidRPr="00FF30BB" w:rsidRDefault="002016AE" w:rsidP="002016AE">
      <w:pPr>
        <w:spacing w:after="0" w:line="240" w:lineRule="auto"/>
        <w:ind w:right="57"/>
        <w:rPr>
          <w:rFonts w:cs="Arial"/>
          <w:w w:val="105"/>
          <w:sz w:val="22"/>
        </w:rPr>
      </w:pPr>
      <w:r w:rsidRPr="00FF30BB">
        <w:rPr>
          <w:rFonts w:cs="Arial"/>
          <w:b/>
          <w:w w:val="105"/>
          <w:sz w:val="22"/>
        </w:rPr>
        <w:t>MEPC</w:t>
      </w:r>
      <w:r w:rsidRPr="00FF30BB">
        <w:rPr>
          <w:rFonts w:cs="Arial"/>
          <w:w w:val="105"/>
          <w:sz w:val="22"/>
        </w:rPr>
        <w:t> </w:t>
      </w:r>
      <w:r w:rsidRPr="00FF30BB">
        <w:rPr>
          <w:rFonts w:cs="Arial"/>
          <w:w w:val="105"/>
          <w:sz w:val="22"/>
        </w:rPr>
        <w:tab/>
      </w:r>
      <w:r w:rsidRPr="00FF30BB">
        <w:rPr>
          <w:rFonts w:cs="Arial"/>
          <w:w w:val="105"/>
          <w:sz w:val="22"/>
        </w:rPr>
        <w:tab/>
      </w:r>
      <w:r w:rsidRPr="00FF30BB">
        <w:rPr>
          <w:rFonts w:cs="Arial"/>
          <w:b/>
          <w:w w:val="105"/>
          <w:sz w:val="22"/>
        </w:rPr>
        <w:t>:</w:t>
      </w:r>
      <w:r w:rsidRPr="00FF30BB">
        <w:rPr>
          <w:rFonts w:cs="Arial"/>
          <w:w w:val="105"/>
          <w:sz w:val="22"/>
        </w:rPr>
        <w:t xml:space="preserve"> Ministre de l'Economie, du Plan et de la Coopération</w:t>
      </w:r>
    </w:p>
    <w:p w14:paraId="1C215B66" w14:textId="77777777" w:rsidR="002016AE" w:rsidRPr="00FF30BB" w:rsidRDefault="002016AE" w:rsidP="002016AE">
      <w:pPr>
        <w:spacing w:after="0" w:line="240" w:lineRule="auto"/>
        <w:ind w:right="57"/>
        <w:rPr>
          <w:rFonts w:cs="Arial"/>
          <w:b/>
          <w:sz w:val="22"/>
        </w:rPr>
      </w:pPr>
      <w:r w:rsidRPr="00FF30BB">
        <w:rPr>
          <w:rFonts w:cs="Arial"/>
          <w:b/>
          <w:sz w:val="22"/>
        </w:rPr>
        <w:t>NEPAD</w:t>
      </w:r>
      <w:r w:rsidRPr="00FF30BB">
        <w:rPr>
          <w:rFonts w:cs="Arial"/>
          <w:b/>
          <w:sz w:val="22"/>
        </w:rPr>
        <w:tab/>
      </w:r>
      <w:r w:rsidRPr="00FF30BB">
        <w:rPr>
          <w:rFonts w:cs="Arial"/>
          <w:b/>
          <w:sz w:val="22"/>
        </w:rPr>
        <w:tab/>
        <w:t xml:space="preserve">: </w:t>
      </w:r>
      <w:r w:rsidRPr="00FF30BB">
        <w:rPr>
          <w:rFonts w:cs="Arial"/>
          <w:bCs/>
          <w:sz w:val="22"/>
        </w:rPr>
        <w:t>Nouveau Partenariat pour le Développement de l’Afrique</w:t>
      </w:r>
    </w:p>
    <w:p w14:paraId="46BC09BB" w14:textId="77777777" w:rsidR="002016AE" w:rsidRPr="00FF30BB" w:rsidRDefault="002016AE" w:rsidP="002016AE">
      <w:pPr>
        <w:spacing w:after="0" w:line="240" w:lineRule="auto"/>
        <w:rPr>
          <w:rFonts w:eastAsia="Calibri" w:cs="Arial"/>
          <w:w w:val="105"/>
          <w:sz w:val="22"/>
        </w:rPr>
      </w:pPr>
      <w:r w:rsidRPr="00FF30BB">
        <w:rPr>
          <w:rFonts w:eastAsia="Calibri" w:cs="Arial"/>
          <w:b/>
          <w:w w:val="105"/>
          <w:sz w:val="22"/>
        </w:rPr>
        <w:t>ODD</w:t>
      </w:r>
      <w:r w:rsidRPr="00FF30BB">
        <w:rPr>
          <w:rFonts w:eastAsia="Calibri" w:cs="Arial"/>
          <w:w w:val="105"/>
          <w:sz w:val="22"/>
        </w:rPr>
        <w:t> </w:t>
      </w:r>
      <w:r w:rsidRPr="00FF30BB">
        <w:rPr>
          <w:rFonts w:eastAsia="Calibri" w:cs="Arial"/>
          <w:w w:val="105"/>
          <w:sz w:val="22"/>
        </w:rPr>
        <w:tab/>
      </w:r>
      <w:r w:rsidRPr="00FF30BB">
        <w:rPr>
          <w:rFonts w:eastAsia="Calibri" w:cs="Arial"/>
          <w:w w:val="105"/>
          <w:sz w:val="22"/>
        </w:rPr>
        <w:tab/>
      </w:r>
      <w:r w:rsidRPr="00FF30BB">
        <w:rPr>
          <w:rFonts w:eastAsia="Calibri" w:cs="Arial"/>
          <w:b/>
          <w:w w:val="105"/>
          <w:sz w:val="22"/>
        </w:rPr>
        <w:t>:</w:t>
      </w:r>
      <w:r w:rsidRPr="00FF30BB">
        <w:rPr>
          <w:rFonts w:eastAsia="Calibri" w:cs="Arial"/>
          <w:w w:val="105"/>
          <w:sz w:val="22"/>
        </w:rPr>
        <w:t xml:space="preserve"> Objectifs de Développement Durable </w:t>
      </w:r>
    </w:p>
    <w:p w14:paraId="36CE352F" w14:textId="77777777" w:rsidR="002016AE" w:rsidRPr="00FF30BB" w:rsidRDefault="002016AE" w:rsidP="002016AE">
      <w:pPr>
        <w:spacing w:after="0" w:line="240" w:lineRule="auto"/>
        <w:ind w:right="57"/>
        <w:rPr>
          <w:rFonts w:cs="Arial"/>
          <w:w w:val="105"/>
          <w:sz w:val="22"/>
        </w:rPr>
      </w:pPr>
      <w:r w:rsidRPr="00FF30BB">
        <w:rPr>
          <w:rFonts w:cs="Arial"/>
          <w:b/>
          <w:w w:val="105"/>
          <w:sz w:val="22"/>
        </w:rPr>
        <w:t>OHADA</w:t>
      </w:r>
      <w:r w:rsidRPr="00FF30BB">
        <w:rPr>
          <w:rFonts w:cs="Arial"/>
          <w:w w:val="105"/>
          <w:sz w:val="22"/>
        </w:rPr>
        <w:t> </w:t>
      </w:r>
      <w:r w:rsidRPr="00FF30BB">
        <w:rPr>
          <w:rFonts w:cs="Arial"/>
          <w:w w:val="105"/>
          <w:sz w:val="22"/>
        </w:rPr>
        <w:tab/>
      </w:r>
      <w:r w:rsidRPr="00FF30BB">
        <w:rPr>
          <w:rFonts w:cs="Arial"/>
          <w:b/>
          <w:w w:val="105"/>
          <w:sz w:val="22"/>
        </w:rPr>
        <w:t>:</w:t>
      </w:r>
      <w:r w:rsidRPr="00FF30BB">
        <w:rPr>
          <w:rFonts w:cs="Arial"/>
          <w:w w:val="105"/>
          <w:sz w:val="22"/>
        </w:rPr>
        <w:t xml:space="preserve"> Organisation pour l'Harmonisation en Afrique de Droit des Affaires </w:t>
      </w:r>
    </w:p>
    <w:p w14:paraId="1FDB1548" w14:textId="77777777" w:rsidR="002016AE" w:rsidRPr="00FF30BB" w:rsidRDefault="002016AE" w:rsidP="002016AE">
      <w:pPr>
        <w:spacing w:after="0" w:line="240" w:lineRule="auto"/>
        <w:ind w:right="57"/>
        <w:rPr>
          <w:rFonts w:cs="Arial"/>
          <w:sz w:val="22"/>
        </w:rPr>
      </w:pPr>
      <w:r w:rsidRPr="00FF30BB">
        <w:rPr>
          <w:rFonts w:cs="Arial"/>
          <w:b/>
          <w:sz w:val="22"/>
        </w:rPr>
        <w:t>OMVG</w:t>
      </w:r>
      <w:r w:rsidRPr="00FF30BB">
        <w:rPr>
          <w:rFonts w:cs="Arial"/>
          <w:sz w:val="22"/>
        </w:rPr>
        <w:t> </w:t>
      </w:r>
      <w:r w:rsidRPr="00FF30BB">
        <w:rPr>
          <w:rFonts w:cs="Arial"/>
          <w:sz w:val="22"/>
        </w:rPr>
        <w:tab/>
      </w:r>
      <w:r w:rsidRPr="00FF30BB">
        <w:rPr>
          <w:rFonts w:cs="Arial"/>
          <w:sz w:val="22"/>
        </w:rPr>
        <w:tab/>
      </w:r>
      <w:r w:rsidRPr="00FF30BB">
        <w:rPr>
          <w:rFonts w:cs="Arial"/>
          <w:b/>
          <w:sz w:val="22"/>
        </w:rPr>
        <w:t>:</w:t>
      </w:r>
      <w:r w:rsidRPr="00FF30BB">
        <w:rPr>
          <w:rFonts w:cs="Arial"/>
          <w:sz w:val="22"/>
        </w:rPr>
        <w:t xml:space="preserve"> Organisation pour la Mise en Valeur du fleuve Gambie</w:t>
      </w:r>
    </w:p>
    <w:p w14:paraId="32CC3064" w14:textId="77777777" w:rsidR="002016AE" w:rsidRPr="00FF30BB" w:rsidRDefault="002016AE" w:rsidP="002016AE">
      <w:pPr>
        <w:spacing w:after="0" w:line="240" w:lineRule="auto"/>
        <w:ind w:right="57"/>
        <w:rPr>
          <w:rFonts w:cs="Arial"/>
          <w:sz w:val="22"/>
        </w:rPr>
      </w:pPr>
      <w:r w:rsidRPr="00FF30BB">
        <w:rPr>
          <w:rFonts w:cs="Arial"/>
          <w:b/>
          <w:sz w:val="22"/>
        </w:rPr>
        <w:t>OMVS</w:t>
      </w:r>
      <w:r w:rsidRPr="00FF30BB">
        <w:rPr>
          <w:rFonts w:cs="Arial"/>
          <w:sz w:val="22"/>
        </w:rPr>
        <w:t> </w:t>
      </w:r>
      <w:r w:rsidRPr="00FF30BB">
        <w:rPr>
          <w:rFonts w:cs="Arial"/>
          <w:sz w:val="22"/>
        </w:rPr>
        <w:tab/>
      </w:r>
      <w:r w:rsidRPr="00FF30BB">
        <w:rPr>
          <w:rFonts w:cs="Arial"/>
          <w:sz w:val="22"/>
        </w:rPr>
        <w:tab/>
      </w:r>
      <w:r w:rsidRPr="00FF30BB">
        <w:rPr>
          <w:rFonts w:cs="Arial"/>
          <w:b/>
          <w:sz w:val="22"/>
        </w:rPr>
        <w:t>:</w:t>
      </w:r>
      <w:r w:rsidRPr="00FF30BB">
        <w:rPr>
          <w:rFonts w:cs="Arial"/>
          <w:sz w:val="22"/>
        </w:rPr>
        <w:t xml:space="preserve"> Organisation pour la Mise en Valeur du fleuve Sénégal</w:t>
      </w:r>
    </w:p>
    <w:p w14:paraId="5E693FDF" w14:textId="77777777" w:rsidR="002016AE" w:rsidRPr="00FF30BB" w:rsidRDefault="002016AE" w:rsidP="002016AE">
      <w:pPr>
        <w:spacing w:after="0" w:line="240" w:lineRule="auto"/>
        <w:ind w:right="57"/>
        <w:rPr>
          <w:rFonts w:cs="Arial"/>
          <w:sz w:val="22"/>
        </w:rPr>
      </w:pPr>
      <w:r w:rsidRPr="00FF30BB">
        <w:rPr>
          <w:rFonts w:cs="Arial"/>
          <w:b/>
          <w:sz w:val="22"/>
        </w:rPr>
        <w:t>ONU</w:t>
      </w:r>
      <w:r w:rsidRPr="00FF30BB">
        <w:rPr>
          <w:rFonts w:cs="Arial"/>
          <w:sz w:val="22"/>
        </w:rPr>
        <w:t> </w:t>
      </w:r>
      <w:r w:rsidRPr="00FF30BB">
        <w:rPr>
          <w:rFonts w:cs="Arial"/>
          <w:sz w:val="22"/>
        </w:rPr>
        <w:tab/>
      </w:r>
      <w:r w:rsidRPr="00FF30BB">
        <w:rPr>
          <w:rFonts w:cs="Arial"/>
          <w:sz w:val="22"/>
        </w:rPr>
        <w:tab/>
      </w:r>
      <w:r w:rsidRPr="00FF30BB">
        <w:rPr>
          <w:rFonts w:cs="Arial"/>
          <w:b/>
          <w:sz w:val="22"/>
        </w:rPr>
        <w:t>:</w:t>
      </w:r>
      <w:r w:rsidRPr="00FF30BB">
        <w:rPr>
          <w:rFonts w:cs="Arial"/>
          <w:sz w:val="22"/>
        </w:rPr>
        <w:t xml:space="preserve"> Organisation des Nations Unies</w:t>
      </w:r>
    </w:p>
    <w:p w14:paraId="06C43C29" w14:textId="77777777" w:rsidR="002016AE" w:rsidRPr="00FF30BB" w:rsidRDefault="002016AE" w:rsidP="002016AE">
      <w:pPr>
        <w:spacing w:after="0" w:line="240" w:lineRule="auto"/>
        <w:ind w:right="57"/>
        <w:rPr>
          <w:rFonts w:cs="Arial"/>
          <w:sz w:val="22"/>
        </w:rPr>
      </w:pPr>
      <w:r w:rsidRPr="00FF30BB">
        <w:rPr>
          <w:rFonts w:cs="Arial"/>
          <w:b/>
          <w:bCs/>
          <w:sz w:val="22"/>
        </w:rPr>
        <w:t>OUA </w:t>
      </w:r>
      <w:r w:rsidRPr="00FF30BB">
        <w:rPr>
          <w:rFonts w:cs="Arial"/>
          <w:b/>
          <w:bCs/>
          <w:sz w:val="22"/>
        </w:rPr>
        <w:tab/>
      </w:r>
      <w:r w:rsidRPr="00FF30BB">
        <w:rPr>
          <w:rFonts w:cs="Arial"/>
          <w:b/>
          <w:bCs/>
          <w:sz w:val="22"/>
        </w:rPr>
        <w:tab/>
        <w:t xml:space="preserve">: </w:t>
      </w:r>
      <w:r w:rsidRPr="00FF30BB">
        <w:rPr>
          <w:rFonts w:cs="Arial"/>
          <w:sz w:val="22"/>
        </w:rPr>
        <w:t>Organisation de l’Unité africaine</w:t>
      </w:r>
    </w:p>
    <w:p w14:paraId="3144A4D2" w14:textId="677F188F" w:rsidR="002016AE" w:rsidRPr="00FF30BB" w:rsidRDefault="002016AE" w:rsidP="002016AE">
      <w:pPr>
        <w:spacing w:after="0" w:line="240" w:lineRule="auto"/>
        <w:ind w:right="57"/>
        <w:rPr>
          <w:rFonts w:cs="Arial"/>
          <w:w w:val="105"/>
          <w:sz w:val="22"/>
        </w:rPr>
      </w:pPr>
      <w:r w:rsidRPr="00FF30BB">
        <w:rPr>
          <w:rFonts w:cs="Arial"/>
          <w:b/>
          <w:w w:val="105"/>
          <w:sz w:val="22"/>
        </w:rPr>
        <w:t>PAP2A</w:t>
      </w:r>
      <w:r w:rsidRPr="00FF30BB">
        <w:rPr>
          <w:rFonts w:cs="Arial"/>
          <w:w w:val="105"/>
          <w:sz w:val="22"/>
        </w:rPr>
        <w:t> </w:t>
      </w:r>
      <w:r w:rsidR="00FF30BB">
        <w:rPr>
          <w:rFonts w:cs="Arial"/>
          <w:w w:val="105"/>
          <w:sz w:val="22"/>
        </w:rPr>
        <w:tab/>
      </w:r>
      <w:r w:rsidRPr="00FF30BB">
        <w:rPr>
          <w:rFonts w:cs="Arial"/>
          <w:b/>
          <w:w w:val="105"/>
          <w:sz w:val="22"/>
        </w:rPr>
        <w:t>:</w:t>
      </w:r>
      <w:r w:rsidRPr="00FF30BB">
        <w:rPr>
          <w:rFonts w:cs="Arial"/>
          <w:w w:val="105"/>
          <w:sz w:val="22"/>
        </w:rPr>
        <w:t xml:space="preserve"> Plan d’actions prioritaires ajusté et accéléré</w:t>
      </w:r>
    </w:p>
    <w:p w14:paraId="3173E169" w14:textId="77777777" w:rsidR="002016AE" w:rsidRPr="00FF30BB" w:rsidRDefault="002016AE" w:rsidP="002016AE">
      <w:pPr>
        <w:spacing w:after="0" w:line="240" w:lineRule="auto"/>
        <w:ind w:right="57"/>
        <w:rPr>
          <w:rFonts w:eastAsia="Calibri" w:cs="Arial"/>
          <w:sz w:val="22"/>
        </w:rPr>
      </w:pPr>
      <w:r w:rsidRPr="00FF30BB">
        <w:rPr>
          <w:rFonts w:eastAsia="Calibri" w:cs="Arial"/>
          <w:b/>
          <w:sz w:val="22"/>
        </w:rPr>
        <w:t>PCC</w:t>
      </w:r>
      <w:r w:rsidRPr="00FF30BB">
        <w:rPr>
          <w:rFonts w:eastAsia="Calibri" w:cs="Arial"/>
          <w:sz w:val="22"/>
        </w:rPr>
        <w:t> </w:t>
      </w:r>
      <w:r w:rsidRPr="00FF30BB">
        <w:rPr>
          <w:rFonts w:eastAsia="Calibri" w:cs="Arial"/>
          <w:sz w:val="22"/>
        </w:rPr>
        <w:tab/>
      </w:r>
      <w:r w:rsidRPr="00FF30BB">
        <w:rPr>
          <w:rFonts w:eastAsia="Calibri" w:cs="Arial"/>
          <w:sz w:val="22"/>
        </w:rPr>
        <w:tab/>
      </w:r>
      <w:r w:rsidRPr="00FF30BB">
        <w:rPr>
          <w:rFonts w:eastAsia="Calibri" w:cs="Arial"/>
          <w:b/>
          <w:sz w:val="22"/>
        </w:rPr>
        <w:t xml:space="preserve">: </w:t>
      </w:r>
      <w:r w:rsidRPr="00FF30BB">
        <w:rPr>
          <w:rFonts w:eastAsia="Calibri" w:cs="Arial"/>
          <w:sz w:val="22"/>
        </w:rPr>
        <w:t xml:space="preserve">Prélèvement Communautaire CEDEAO </w:t>
      </w:r>
    </w:p>
    <w:p w14:paraId="459B39CF" w14:textId="77777777" w:rsidR="002016AE" w:rsidRPr="00FF30BB" w:rsidRDefault="002016AE" w:rsidP="002016AE">
      <w:pPr>
        <w:spacing w:after="0" w:line="240" w:lineRule="auto"/>
        <w:ind w:right="57"/>
        <w:rPr>
          <w:rFonts w:eastAsia="Calibri" w:cs="Arial"/>
          <w:sz w:val="22"/>
        </w:rPr>
      </w:pPr>
      <w:r w:rsidRPr="00FF30BB">
        <w:rPr>
          <w:rFonts w:eastAsia="Calibri" w:cs="Arial"/>
          <w:b/>
          <w:sz w:val="22"/>
        </w:rPr>
        <w:t>PCS</w:t>
      </w:r>
      <w:r w:rsidRPr="00FF30BB">
        <w:rPr>
          <w:rFonts w:eastAsia="Calibri" w:cs="Arial"/>
          <w:sz w:val="22"/>
        </w:rPr>
        <w:t> </w:t>
      </w:r>
      <w:r w:rsidRPr="00FF30BB">
        <w:rPr>
          <w:rFonts w:eastAsia="Calibri" w:cs="Arial"/>
          <w:sz w:val="22"/>
        </w:rPr>
        <w:tab/>
      </w:r>
      <w:r w:rsidRPr="00FF30BB">
        <w:rPr>
          <w:rFonts w:eastAsia="Calibri" w:cs="Arial"/>
          <w:sz w:val="22"/>
        </w:rPr>
        <w:tab/>
      </w:r>
      <w:r w:rsidRPr="00FF30BB">
        <w:rPr>
          <w:rFonts w:eastAsia="Calibri" w:cs="Arial"/>
          <w:b/>
          <w:sz w:val="22"/>
        </w:rPr>
        <w:t>:</w:t>
      </w:r>
      <w:r w:rsidRPr="00FF30BB">
        <w:rPr>
          <w:rFonts w:eastAsia="Calibri" w:cs="Arial"/>
          <w:sz w:val="22"/>
        </w:rPr>
        <w:t xml:space="preserve"> Prélèvement Communautaire de Solidarité  </w:t>
      </w:r>
    </w:p>
    <w:p w14:paraId="6F058AAB" w14:textId="77777777" w:rsidR="002016AE" w:rsidRPr="00FF30BB" w:rsidRDefault="002016AE" w:rsidP="002016AE">
      <w:pPr>
        <w:spacing w:after="0" w:line="240" w:lineRule="auto"/>
        <w:ind w:right="57"/>
        <w:rPr>
          <w:rFonts w:cs="Arial"/>
          <w:w w:val="105"/>
          <w:sz w:val="22"/>
        </w:rPr>
      </w:pPr>
      <w:r w:rsidRPr="00FF30BB">
        <w:rPr>
          <w:rFonts w:cs="Arial"/>
          <w:b/>
          <w:w w:val="105"/>
          <w:sz w:val="22"/>
        </w:rPr>
        <w:t>PME</w:t>
      </w:r>
      <w:r w:rsidRPr="00FF30BB">
        <w:rPr>
          <w:rFonts w:cs="Arial"/>
          <w:w w:val="105"/>
          <w:sz w:val="22"/>
        </w:rPr>
        <w:t> </w:t>
      </w:r>
      <w:r w:rsidRPr="00FF30BB">
        <w:rPr>
          <w:rFonts w:cs="Arial"/>
          <w:w w:val="105"/>
          <w:sz w:val="22"/>
        </w:rPr>
        <w:tab/>
      </w:r>
      <w:r w:rsidRPr="00FF30BB">
        <w:rPr>
          <w:rFonts w:cs="Arial"/>
          <w:w w:val="105"/>
          <w:sz w:val="22"/>
        </w:rPr>
        <w:tab/>
      </w:r>
      <w:r w:rsidRPr="00FF30BB">
        <w:rPr>
          <w:rFonts w:cs="Arial"/>
          <w:b/>
          <w:w w:val="105"/>
          <w:sz w:val="22"/>
        </w:rPr>
        <w:t>:</w:t>
      </w:r>
      <w:r w:rsidRPr="00FF30BB">
        <w:rPr>
          <w:rFonts w:cs="Arial"/>
          <w:w w:val="105"/>
          <w:sz w:val="22"/>
        </w:rPr>
        <w:t xml:space="preserve"> Petites et Moyennes Entreprises </w:t>
      </w:r>
    </w:p>
    <w:p w14:paraId="42A5C578" w14:textId="77777777" w:rsidR="002016AE" w:rsidRPr="00FF30BB" w:rsidRDefault="002016AE" w:rsidP="002016AE">
      <w:pPr>
        <w:spacing w:after="0" w:line="240" w:lineRule="auto"/>
        <w:ind w:right="57"/>
        <w:rPr>
          <w:rFonts w:eastAsia="Calibri" w:cs="Arial"/>
          <w:sz w:val="22"/>
        </w:rPr>
      </w:pPr>
      <w:r w:rsidRPr="00FF30BB">
        <w:rPr>
          <w:rFonts w:eastAsia="Calibri" w:cs="Arial"/>
          <w:b/>
          <w:bCs/>
          <w:sz w:val="22"/>
        </w:rPr>
        <w:t>PMI </w:t>
      </w:r>
      <w:r w:rsidRPr="00FF30BB">
        <w:rPr>
          <w:rFonts w:eastAsia="Calibri" w:cs="Arial"/>
          <w:b/>
          <w:bCs/>
          <w:sz w:val="22"/>
        </w:rPr>
        <w:tab/>
      </w:r>
      <w:r w:rsidRPr="00FF30BB">
        <w:rPr>
          <w:rFonts w:eastAsia="Calibri" w:cs="Arial"/>
          <w:b/>
          <w:bCs/>
          <w:sz w:val="22"/>
        </w:rPr>
        <w:tab/>
      </w:r>
      <w:r w:rsidRPr="00FF30BB">
        <w:rPr>
          <w:rFonts w:eastAsia="Calibri" w:cs="Arial"/>
          <w:b/>
          <w:sz w:val="22"/>
        </w:rPr>
        <w:t xml:space="preserve">: </w:t>
      </w:r>
      <w:r w:rsidRPr="00FF30BB">
        <w:rPr>
          <w:rFonts w:eastAsia="Calibri" w:cs="Arial"/>
          <w:sz w:val="22"/>
        </w:rPr>
        <w:t>Petites et Moyennes Industries</w:t>
      </w:r>
    </w:p>
    <w:p w14:paraId="6C957677" w14:textId="77777777" w:rsidR="002016AE" w:rsidRPr="00FF30BB" w:rsidRDefault="002016AE" w:rsidP="002016AE">
      <w:pPr>
        <w:spacing w:after="0" w:line="240" w:lineRule="auto"/>
        <w:ind w:right="57"/>
        <w:rPr>
          <w:rFonts w:eastAsia="Calibri" w:cs="Arial"/>
          <w:sz w:val="22"/>
        </w:rPr>
      </w:pPr>
      <w:r w:rsidRPr="00FF30BB">
        <w:rPr>
          <w:rFonts w:eastAsia="Calibri" w:cs="Arial"/>
          <w:b/>
          <w:sz w:val="22"/>
        </w:rPr>
        <w:t>PND</w:t>
      </w:r>
      <w:r w:rsidRPr="00FF30BB">
        <w:rPr>
          <w:rFonts w:eastAsia="Calibri" w:cs="Arial"/>
          <w:sz w:val="22"/>
        </w:rPr>
        <w:t> </w:t>
      </w:r>
      <w:r w:rsidRPr="00FF30BB">
        <w:rPr>
          <w:rFonts w:eastAsia="Calibri" w:cs="Arial"/>
          <w:sz w:val="22"/>
        </w:rPr>
        <w:tab/>
      </w:r>
      <w:r w:rsidRPr="00FF30BB">
        <w:rPr>
          <w:rFonts w:eastAsia="Calibri" w:cs="Arial"/>
          <w:sz w:val="22"/>
        </w:rPr>
        <w:tab/>
      </w:r>
      <w:r w:rsidRPr="00FF30BB">
        <w:rPr>
          <w:rFonts w:eastAsia="Calibri" w:cs="Arial"/>
          <w:b/>
          <w:sz w:val="22"/>
        </w:rPr>
        <w:t>:</w:t>
      </w:r>
      <w:r w:rsidRPr="00FF30BB">
        <w:rPr>
          <w:rFonts w:eastAsia="Calibri" w:cs="Arial"/>
          <w:sz w:val="22"/>
        </w:rPr>
        <w:t xml:space="preserve"> Plan national de Développement</w:t>
      </w:r>
    </w:p>
    <w:p w14:paraId="3CEEA652" w14:textId="77777777" w:rsidR="002016AE" w:rsidRPr="00FF30BB" w:rsidRDefault="002016AE" w:rsidP="002016AE">
      <w:pPr>
        <w:spacing w:after="0" w:line="240" w:lineRule="auto"/>
        <w:ind w:right="57"/>
        <w:rPr>
          <w:rFonts w:eastAsia="Calibri" w:cs="Arial"/>
          <w:w w:val="105"/>
          <w:sz w:val="22"/>
        </w:rPr>
      </w:pPr>
      <w:r w:rsidRPr="00FF30BB">
        <w:rPr>
          <w:rFonts w:eastAsia="Calibri" w:cs="Arial"/>
          <w:b/>
          <w:w w:val="105"/>
          <w:sz w:val="22"/>
        </w:rPr>
        <w:t>PNIA</w:t>
      </w:r>
      <w:r w:rsidRPr="00FF30BB">
        <w:rPr>
          <w:rFonts w:eastAsia="Calibri" w:cs="Arial"/>
          <w:w w:val="105"/>
          <w:sz w:val="22"/>
        </w:rPr>
        <w:t> </w:t>
      </w:r>
      <w:r w:rsidRPr="00FF30BB">
        <w:rPr>
          <w:rFonts w:eastAsia="Calibri" w:cs="Arial"/>
          <w:w w:val="105"/>
          <w:sz w:val="22"/>
        </w:rPr>
        <w:tab/>
      </w:r>
      <w:r w:rsidRPr="00FF30BB">
        <w:rPr>
          <w:rFonts w:eastAsia="Calibri" w:cs="Arial"/>
          <w:w w:val="105"/>
          <w:sz w:val="22"/>
        </w:rPr>
        <w:tab/>
      </w:r>
      <w:r w:rsidRPr="00FF30BB">
        <w:rPr>
          <w:rFonts w:eastAsia="Calibri" w:cs="Arial"/>
          <w:b/>
          <w:w w:val="105"/>
          <w:sz w:val="22"/>
        </w:rPr>
        <w:t>:</w:t>
      </w:r>
      <w:r w:rsidRPr="00FF30BB">
        <w:rPr>
          <w:rFonts w:eastAsia="Calibri" w:cs="Arial"/>
          <w:w w:val="105"/>
          <w:sz w:val="22"/>
        </w:rPr>
        <w:t xml:space="preserve"> Programme National d’Investissements Agricoles  </w:t>
      </w:r>
    </w:p>
    <w:p w14:paraId="2A6F71A1" w14:textId="77777777" w:rsidR="002016AE" w:rsidRPr="00FF30BB" w:rsidRDefault="002016AE" w:rsidP="002016AE">
      <w:pPr>
        <w:spacing w:after="0" w:line="240" w:lineRule="auto"/>
        <w:ind w:right="57"/>
        <w:rPr>
          <w:rFonts w:eastAsia="Calibri" w:cs="Arial"/>
          <w:w w:val="105"/>
          <w:sz w:val="22"/>
        </w:rPr>
      </w:pPr>
      <w:r w:rsidRPr="00FF30BB">
        <w:rPr>
          <w:rFonts w:eastAsia="Calibri" w:cs="Arial"/>
          <w:b/>
          <w:w w:val="105"/>
          <w:sz w:val="22"/>
        </w:rPr>
        <w:t>PRACAS</w:t>
      </w:r>
      <w:r w:rsidRPr="00FF30BB">
        <w:rPr>
          <w:rFonts w:eastAsia="Calibri" w:cs="Arial"/>
          <w:w w:val="105"/>
          <w:sz w:val="22"/>
        </w:rPr>
        <w:t xml:space="preserve"> </w:t>
      </w:r>
      <w:r w:rsidRPr="00FF30BB">
        <w:rPr>
          <w:rFonts w:eastAsia="Calibri" w:cs="Arial"/>
          <w:w w:val="105"/>
          <w:sz w:val="22"/>
        </w:rPr>
        <w:tab/>
      </w:r>
      <w:r w:rsidRPr="00FF30BB">
        <w:rPr>
          <w:rFonts w:eastAsia="Calibri" w:cs="Arial"/>
          <w:b/>
          <w:w w:val="105"/>
          <w:sz w:val="22"/>
        </w:rPr>
        <w:t xml:space="preserve">: </w:t>
      </w:r>
      <w:r w:rsidRPr="00FF30BB">
        <w:rPr>
          <w:rFonts w:eastAsia="Calibri" w:cs="Arial"/>
          <w:w w:val="105"/>
          <w:sz w:val="22"/>
        </w:rPr>
        <w:t>Programme d'Accélération de la Cadence de l'Agriculture Sénégalaise</w:t>
      </w:r>
    </w:p>
    <w:p w14:paraId="1066FF2A" w14:textId="77777777" w:rsidR="002016AE" w:rsidRPr="00FF30BB" w:rsidRDefault="002016AE" w:rsidP="002016AE">
      <w:pPr>
        <w:spacing w:after="0" w:line="240" w:lineRule="auto"/>
        <w:ind w:right="57"/>
        <w:rPr>
          <w:rFonts w:cs="Arial"/>
          <w:w w:val="105"/>
          <w:sz w:val="22"/>
        </w:rPr>
      </w:pPr>
      <w:r w:rsidRPr="00FF30BB">
        <w:rPr>
          <w:rFonts w:cs="Arial"/>
          <w:b/>
          <w:w w:val="105"/>
          <w:sz w:val="22"/>
        </w:rPr>
        <w:t>PRES</w:t>
      </w:r>
      <w:r w:rsidRPr="00FF30BB">
        <w:rPr>
          <w:rFonts w:cs="Arial"/>
          <w:w w:val="105"/>
          <w:sz w:val="22"/>
        </w:rPr>
        <w:t> </w:t>
      </w:r>
      <w:r w:rsidRPr="00FF30BB">
        <w:rPr>
          <w:rFonts w:cs="Arial"/>
          <w:w w:val="105"/>
          <w:sz w:val="22"/>
        </w:rPr>
        <w:tab/>
      </w:r>
      <w:r w:rsidRPr="00FF30BB">
        <w:rPr>
          <w:rFonts w:cs="Arial"/>
          <w:w w:val="105"/>
          <w:sz w:val="22"/>
        </w:rPr>
        <w:tab/>
      </w:r>
      <w:r w:rsidRPr="00FF30BB">
        <w:rPr>
          <w:rFonts w:cs="Arial"/>
          <w:b/>
          <w:w w:val="105"/>
          <w:sz w:val="22"/>
        </w:rPr>
        <w:t>:</w:t>
      </w:r>
      <w:r w:rsidRPr="00FF30BB">
        <w:rPr>
          <w:rFonts w:ascii="Arial" w:hAnsi="Arial" w:cs="Arial"/>
          <w:w w:val="105"/>
          <w:sz w:val="22"/>
        </w:rPr>
        <w:t> </w:t>
      </w:r>
      <w:r w:rsidRPr="00FF30BB">
        <w:rPr>
          <w:rFonts w:cs="Arial"/>
          <w:w w:val="105"/>
          <w:sz w:val="22"/>
        </w:rPr>
        <w:t>Plan de r</w:t>
      </w:r>
      <w:r w:rsidRPr="00FF30BB">
        <w:rPr>
          <w:rFonts w:cs="Tw Cen MT"/>
          <w:w w:val="105"/>
          <w:sz w:val="22"/>
        </w:rPr>
        <w:t>é</w:t>
      </w:r>
      <w:r w:rsidRPr="00FF30BB">
        <w:rPr>
          <w:rFonts w:cs="Arial"/>
          <w:w w:val="105"/>
          <w:sz w:val="22"/>
        </w:rPr>
        <w:t xml:space="preserve">silience </w:t>
      </w:r>
      <w:r w:rsidRPr="00FF30BB">
        <w:rPr>
          <w:rFonts w:cs="Tw Cen MT"/>
          <w:w w:val="105"/>
          <w:sz w:val="22"/>
        </w:rPr>
        <w:t>é</w:t>
      </w:r>
      <w:r w:rsidRPr="00FF30BB">
        <w:rPr>
          <w:rFonts w:cs="Arial"/>
          <w:w w:val="105"/>
          <w:sz w:val="22"/>
        </w:rPr>
        <w:t>conomique et sociale</w:t>
      </w:r>
    </w:p>
    <w:p w14:paraId="5A57A148" w14:textId="77777777" w:rsidR="002016AE" w:rsidRPr="00FF30BB" w:rsidRDefault="002016AE" w:rsidP="002016AE">
      <w:pPr>
        <w:spacing w:after="0" w:line="240" w:lineRule="auto"/>
        <w:ind w:right="57"/>
        <w:rPr>
          <w:rFonts w:eastAsia="Calibri" w:cs="Arial"/>
          <w:sz w:val="22"/>
        </w:rPr>
      </w:pPr>
      <w:r w:rsidRPr="00FF30BB">
        <w:rPr>
          <w:rFonts w:eastAsia="Calibri" w:cs="Arial"/>
          <w:b/>
          <w:sz w:val="22"/>
        </w:rPr>
        <w:t>PRIA</w:t>
      </w:r>
      <w:r w:rsidRPr="00FF30BB">
        <w:rPr>
          <w:rFonts w:eastAsia="Calibri" w:cs="Arial"/>
          <w:sz w:val="22"/>
        </w:rPr>
        <w:t> </w:t>
      </w:r>
      <w:r w:rsidRPr="00FF30BB">
        <w:rPr>
          <w:rFonts w:eastAsia="Calibri" w:cs="Arial"/>
          <w:sz w:val="22"/>
        </w:rPr>
        <w:tab/>
      </w:r>
      <w:r w:rsidRPr="00FF30BB">
        <w:rPr>
          <w:rFonts w:eastAsia="Calibri" w:cs="Arial"/>
          <w:sz w:val="22"/>
        </w:rPr>
        <w:tab/>
      </w:r>
      <w:r w:rsidRPr="00FF30BB">
        <w:rPr>
          <w:rFonts w:eastAsia="Calibri" w:cs="Arial"/>
          <w:b/>
          <w:sz w:val="22"/>
        </w:rPr>
        <w:t>:</w:t>
      </w:r>
      <w:r w:rsidRPr="00FF30BB">
        <w:rPr>
          <w:rFonts w:eastAsia="Calibri" w:cs="Arial"/>
          <w:sz w:val="22"/>
        </w:rPr>
        <w:t xml:space="preserve"> Programme Régional d’Investissement Agricole </w:t>
      </w:r>
    </w:p>
    <w:p w14:paraId="6ED33BBE" w14:textId="2487AB0D" w:rsidR="002016AE" w:rsidRPr="00FF30BB" w:rsidRDefault="002016AE" w:rsidP="00FF30BB">
      <w:pPr>
        <w:spacing w:after="0" w:line="240" w:lineRule="auto"/>
        <w:ind w:left="1418" w:right="57" w:hanging="1418"/>
        <w:rPr>
          <w:rFonts w:eastAsia="Calibri" w:cs="Arial"/>
          <w:w w:val="105"/>
          <w:sz w:val="22"/>
        </w:rPr>
      </w:pPr>
      <w:r w:rsidRPr="00FF30BB">
        <w:rPr>
          <w:rFonts w:eastAsia="Calibri" w:cs="Arial"/>
          <w:b/>
          <w:w w:val="105"/>
          <w:sz w:val="22"/>
        </w:rPr>
        <w:t>PRIASAN </w:t>
      </w:r>
      <w:r w:rsidRPr="00FF30BB">
        <w:rPr>
          <w:rFonts w:eastAsia="Calibri" w:cs="Arial"/>
          <w:b/>
          <w:w w:val="105"/>
          <w:sz w:val="22"/>
        </w:rPr>
        <w:tab/>
        <w:t>:</w:t>
      </w:r>
      <w:r w:rsidRPr="00FF30BB">
        <w:rPr>
          <w:rFonts w:eastAsia="Calibri" w:cs="Arial"/>
          <w:w w:val="105"/>
          <w:sz w:val="22"/>
        </w:rPr>
        <w:t xml:space="preserve"> Programme régional d’Investissement agricole et de Sécurité alimentaire et </w:t>
      </w:r>
      <w:r w:rsidR="00FF30BB">
        <w:rPr>
          <w:rFonts w:eastAsia="Calibri" w:cs="Arial"/>
          <w:w w:val="105"/>
          <w:sz w:val="22"/>
        </w:rPr>
        <w:t xml:space="preserve"> </w:t>
      </w:r>
      <w:r w:rsidRPr="00FF30BB">
        <w:rPr>
          <w:rFonts w:eastAsia="Calibri" w:cs="Arial"/>
          <w:w w:val="105"/>
          <w:sz w:val="22"/>
        </w:rPr>
        <w:t xml:space="preserve">nutritionnelle  </w:t>
      </w:r>
    </w:p>
    <w:p w14:paraId="38A7DA24" w14:textId="77777777" w:rsidR="002016AE" w:rsidRPr="00FF30BB" w:rsidRDefault="002016AE" w:rsidP="002016AE">
      <w:pPr>
        <w:spacing w:after="0" w:line="240" w:lineRule="auto"/>
        <w:rPr>
          <w:rFonts w:eastAsia="Calibri" w:cs="Arial"/>
          <w:w w:val="105"/>
          <w:sz w:val="22"/>
        </w:rPr>
      </w:pPr>
      <w:r w:rsidRPr="00FF30BB">
        <w:rPr>
          <w:rFonts w:eastAsia="Calibri" w:cs="Arial"/>
          <w:b/>
          <w:w w:val="105"/>
          <w:sz w:val="22"/>
        </w:rPr>
        <w:t>PSE</w:t>
      </w:r>
      <w:r w:rsidRPr="00FF30BB">
        <w:rPr>
          <w:rFonts w:eastAsia="Calibri" w:cs="Arial"/>
          <w:w w:val="105"/>
          <w:sz w:val="22"/>
        </w:rPr>
        <w:t> </w:t>
      </w:r>
      <w:r w:rsidRPr="00FF30BB">
        <w:rPr>
          <w:rFonts w:eastAsia="Calibri" w:cs="Arial"/>
          <w:w w:val="105"/>
          <w:sz w:val="22"/>
        </w:rPr>
        <w:tab/>
      </w:r>
      <w:r w:rsidRPr="00FF30BB">
        <w:rPr>
          <w:rFonts w:eastAsia="Calibri" w:cs="Arial"/>
          <w:w w:val="105"/>
          <w:sz w:val="22"/>
        </w:rPr>
        <w:tab/>
      </w:r>
      <w:r w:rsidRPr="00FF30BB">
        <w:rPr>
          <w:rFonts w:eastAsia="Calibri" w:cs="Arial"/>
          <w:b/>
          <w:w w:val="105"/>
          <w:sz w:val="22"/>
        </w:rPr>
        <w:t>:</w:t>
      </w:r>
      <w:r w:rsidRPr="00FF30BB">
        <w:rPr>
          <w:rFonts w:eastAsia="Calibri" w:cs="Arial"/>
          <w:w w:val="105"/>
          <w:sz w:val="22"/>
        </w:rPr>
        <w:t xml:space="preserve"> Plan Sénégal Émergent</w:t>
      </w:r>
    </w:p>
    <w:p w14:paraId="1A686322" w14:textId="77777777" w:rsidR="002016AE" w:rsidRPr="00FF30BB" w:rsidRDefault="002016AE" w:rsidP="002016AE">
      <w:pPr>
        <w:spacing w:after="0" w:line="240" w:lineRule="auto"/>
        <w:ind w:right="57"/>
        <w:rPr>
          <w:rFonts w:cs="Arial"/>
          <w:w w:val="105"/>
          <w:sz w:val="22"/>
        </w:rPr>
      </w:pPr>
      <w:r w:rsidRPr="00FF30BB">
        <w:rPr>
          <w:rFonts w:cs="Arial"/>
          <w:b/>
          <w:w w:val="105"/>
          <w:sz w:val="22"/>
        </w:rPr>
        <w:t>SLEC</w:t>
      </w:r>
      <w:r w:rsidRPr="00FF30BB">
        <w:rPr>
          <w:rFonts w:cs="Arial"/>
          <w:w w:val="105"/>
          <w:sz w:val="22"/>
        </w:rPr>
        <w:t> </w:t>
      </w:r>
      <w:r w:rsidRPr="00FF30BB">
        <w:rPr>
          <w:rFonts w:cs="Arial"/>
          <w:w w:val="105"/>
          <w:sz w:val="22"/>
        </w:rPr>
        <w:tab/>
      </w:r>
      <w:r w:rsidRPr="00FF30BB">
        <w:rPr>
          <w:rFonts w:cs="Arial"/>
          <w:w w:val="105"/>
          <w:sz w:val="22"/>
        </w:rPr>
        <w:tab/>
      </w:r>
      <w:r w:rsidRPr="00FF30BB">
        <w:rPr>
          <w:rFonts w:cs="Arial"/>
          <w:b/>
          <w:w w:val="105"/>
          <w:sz w:val="22"/>
        </w:rPr>
        <w:t xml:space="preserve">: </w:t>
      </w:r>
      <w:r w:rsidRPr="00FF30BB">
        <w:rPr>
          <w:rFonts w:cs="Arial"/>
          <w:w w:val="105"/>
          <w:sz w:val="22"/>
        </w:rPr>
        <w:t>Schéma de Libéralisation des échanges de la CEDEAO</w:t>
      </w:r>
    </w:p>
    <w:p w14:paraId="31AFD0D7" w14:textId="77777777" w:rsidR="002016AE" w:rsidRPr="00FF30BB" w:rsidRDefault="002016AE" w:rsidP="002016AE">
      <w:pPr>
        <w:spacing w:after="0" w:line="240" w:lineRule="auto"/>
        <w:ind w:right="57"/>
        <w:rPr>
          <w:rFonts w:cs="Arial"/>
          <w:w w:val="105"/>
          <w:sz w:val="22"/>
        </w:rPr>
      </w:pPr>
      <w:r w:rsidRPr="00FF30BB">
        <w:rPr>
          <w:rFonts w:cs="Arial"/>
          <w:b/>
          <w:w w:val="105"/>
          <w:sz w:val="22"/>
        </w:rPr>
        <w:t>TEC</w:t>
      </w:r>
      <w:r w:rsidRPr="00FF30BB">
        <w:rPr>
          <w:rFonts w:cs="Arial"/>
          <w:w w:val="105"/>
          <w:sz w:val="22"/>
        </w:rPr>
        <w:t> </w:t>
      </w:r>
      <w:r w:rsidRPr="00FF30BB">
        <w:rPr>
          <w:rFonts w:cs="Arial"/>
          <w:w w:val="105"/>
          <w:sz w:val="22"/>
        </w:rPr>
        <w:tab/>
      </w:r>
      <w:r w:rsidRPr="00FF30BB">
        <w:rPr>
          <w:rFonts w:cs="Arial"/>
          <w:w w:val="105"/>
          <w:sz w:val="22"/>
        </w:rPr>
        <w:tab/>
      </w:r>
      <w:r w:rsidRPr="00FF30BB">
        <w:rPr>
          <w:rFonts w:cs="Arial"/>
          <w:b/>
          <w:w w:val="105"/>
          <w:sz w:val="22"/>
        </w:rPr>
        <w:t>:</w:t>
      </w:r>
      <w:r w:rsidRPr="00FF30BB">
        <w:rPr>
          <w:rFonts w:cs="Arial"/>
          <w:w w:val="105"/>
          <w:sz w:val="22"/>
        </w:rPr>
        <w:t xml:space="preserve"> Tarif Extérieur Commun </w:t>
      </w:r>
    </w:p>
    <w:p w14:paraId="40EB9881" w14:textId="77777777" w:rsidR="002016AE" w:rsidRPr="00FF30BB" w:rsidRDefault="002016AE" w:rsidP="002016AE">
      <w:pPr>
        <w:spacing w:after="0" w:line="240" w:lineRule="auto"/>
        <w:rPr>
          <w:rFonts w:cs="Arial"/>
          <w:sz w:val="22"/>
        </w:rPr>
      </w:pPr>
      <w:r w:rsidRPr="00FF30BB">
        <w:rPr>
          <w:rFonts w:cs="Arial"/>
          <w:b/>
          <w:sz w:val="22"/>
        </w:rPr>
        <w:t>UA</w:t>
      </w:r>
      <w:r w:rsidRPr="00FF30BB">
        <w:rPr>
          <w:rFonts w:cs="Arial"/>
          <w:sz w:val="22"/>
        </w:rPr>
        <w:t> </w:t>
      </w:r>
      <w:r w:rsidRPr="00FF30BB">
        <w:rPr>
          <w:rFonts w:cs="Arial"/>
          <w:sz w:val="22"/>
        </w:rPr>
        <w:tab/>
      </w:r>
      <w:r w:rsidRPr="00FF30BB">
        <w:rPr>
          <w:rFonts w:cs="Arial"/>
          <w:sz w:val="22"/>
        </w:rPr>
        <w:tab/>
      </w:r>
      <w:r w:rsidRPr="00FF30BB">
        <w:rPr>
          <w:rFonts w:cs="Arial"/>
          <w:b/>
          <w:sz w:val="22"/>
        </w:rPr>
        <w:t>:</w:t>
      </w:r>
      <w:r w:rsidRPr="00FF30BB">
        <w:rPr>
          <w:rFonts w:cs="Arial"/>
          <w:sz w:val="22"/>
        </w:rPr>
        <w:t xml:space="preserve"> Union Africaine </w:t>
      </w:r>
    </w:p>
    <w:p w14:paraId="294662E2" w14:textId="77777777" w:rsidR="002016AE" w:rsidRPr="00FF30BB" w:rsidRDefault="002016AE" w:rsidP="002016AE">
      <w:pPr>
        <w:spacing w:after="0" w:line="240" w:lineRule="auto"/>
        <w:ind w:right="57"/>
        <w:rPr>
          <w:rFonts w:cs="Arial"/>
          <w:sz w:val="22"/>
        </w:rPr>
      </w:pPr>
      <w:r w:rsidRPr="00FF30BB">
        <w:rPr>
          <w:rFonts w:cs="Arial"/>
          <w:b/>
          <w:sz w:val="22"/>
        </w:rPr>
        <w:t>UEMOA</w:t>
      </w:r>
      <w:r w:rsidRPr="00FF30BB">
        <w:rPr>
          <w:rFonts w:cs="Arial"/>
          <w:sz w:val="22"/>
        </w:rPr>
        <w:t> </w:t>
      </w:r>
      <w:r w:rsidRPr="00FF30BB">
        <w:rPr>
          <w:rFonts w:cs="Arial"/>
          <w:sz w:val="22"/>
        </w:rPr>
        <w:tab/>
      </w:r>
      <w:r w:rsidRPr="00FF30BB">
        <w:rPr>
          <w:rFonts w:cs="Arial"/>
          <w:b/>
          <w:sz w:val="22"/>
        </w:rPr>
        <w:t xml:space="preserve">: </w:t>
      </w:r>
      <w:r w:rsidRPr="00FF30BB">
        <w:rPr>
          <w:rFonts w:cs="Arial"/>
          <w:sz w:val="22"/>
        </w:rPr>
        <w:t>Union Economique et Monétaire Ouest Africaine</w:t>
      </w:r>
    </w:p>
    <w:p w14:paraId="0C4C3FA9" w14:textId="77777777" w:rsidR="002016AE" w:rsidRPr="00FF30BB" w:rsidRDefault="002016AE" w:rsidP="002016AE">
      <w:pPr>
        <w:spacing w:after="0" w:line="240" w:lineRule="auto"/>
        <w:rPr>
          <w:rFonts w:cs="Arial"/>
          <w:sz w:val="22"/>
        </w:rPr>
      </w:pPr>
      <w:r w:rsidRPr="00FF30BB">
        <w:rPr>
          <w:rFonts w:eastAsia="Calibri" w:cs="Arial"/>
          <w:b/>
          <w:w w:val="105"/>
          <w:sz w:val="22"/>
        </w:rPr>
        <w:t>ZLECAF</w:t>
      </w:r>
      <w:r w:rsidRPr="00FF30BB">
        <w:rPr>
          <w:rFonts w:eastAsia="Calibri" w:cs="Arial"/>
          <w:w w:val="105"/>
          <w:sz w:val="22"/>
        </w:rPr>
        <w:t> </w:t>
      </w:r>
      <w:r w:rsidRPr="00FF30BB">
        <w:rPr>
          <w:rFonts w:eastAsia="Calibri" w:cs="Arial"/>
          <w:w w:val="105"/>
          <w:sz w:val="22"/>
        </w:rPr>
        <w:tab/>
      </w:r>
      <w:r w:rsidRPr="00FF30BB">
        <w:rPr>
          <w:rFonts w:eastAsia="Calibri" w:cs="Arial"/>
          <w:b/>
          <w:w w:val="105"/>
          <w:sz w:val="22"/>
        </w:rPr>
        <w:t>:</w:t>
      </w:r>
      <w:r w:rsidRPr="00FF30BB">
        <w:rPr>
          <w:rFonts w:eastAsia="Calibri" w:cs="Arial"/>
          <w:w w:val="105"/>
          <w:sz w:val="22"/>
        </w:rPr>
        <w:t xml:space="preserve"> Zone de Libre Echange Continentale africaine</w:t>
      </w:r>
    </w:p>
    <w:p w14:paraId="1DB8C509" w14:textId="77777777" w:rsidR="002016AE" w:rsidRDefault="002016AE" w:rsidP="002016AE"/>
    <w:p w14:paraId="1B5290A1" w14:textId="2D8707F3" w:rsidR="00A0114A" w:rsidRDefault="00A0114A" w:rsidP="002016AE"/>
    <w:p w14:paraId="31E3BF1C" w14:textId="7989EAED" w:rsidR="00D23F30" w:rsidRPr="009F58B2" w:rsidRDefault="00FD55B4" w:rsidP="0077672F">
      <w:pPr>
        <w:rPr>
          <w:color w:val="FFF2CC" w:themeColor="accent4" w:themeTint="33"/>
          <w:sz w:val="12"/>
          <w:szCs w:val="12"/>
        </w:rPr>
      </w:pPr>
      <w:r w:rsidRPr="009F58B2">
        <w:rPr>
          <w:noProof/>
          <w:lang w:eastAsia="fr-FR"/>
        </w:rPr>
        <w:lastRenderedPageBreak/>
        <w:drawing>
          <wp:anchor distT="0" distB="0" distL="114300" distR="114300" simplePos="0" relativeHeight="251757568" behindDoc="1" locked="0" layoutInCell="1" allowOverlap="0" wp14:anchorId="5B94ECEB" wp14:editId="69F64757">
            <wp:simplePos x="0" y="0"/>
            <wp:positionH relativeFrom="page">
              <wp:align>left</wp:align>
            </wp:positionH>
            <wp:positionV relativeFrom="page">
              <wp:align>top</wp:align>
            </wp:positionV>
            <wp:extent cx="7558966" cy="10058400"/>
            <wp:effectExtent l="0" t="0" r="4445" b="0"/>
            <wp:wrapNone/>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2">
                      <a:extLst>
                        <a:ext uri="{28A0092B-C50C-407E-A947-70E740481C1C}">
                          <a14:useLocalDpi xmlns:a14="http://schemas.microsoft.com/office/drawing/2010/main" val="0"/>
                        </a:ext>
                      </a:extLst>
                    </a:blip>
                    <a:stretch>
                      <a:fillRect/>
                    </a:stretch>
                  </pic:blipFill>
                  <pic:spPr>
                    <a:xfrm>
                      <a:off x="0" y="0"/>
                      <a:ext cx="7561845" cy="10062231"/>
                    </a:xfrm>
                    <a:prstGeom prst="rect">
                      <a:avLst/>
                    </a:prstGeom>
                  </pic:spPr>
                </pic:pic>
              </a:graphicData>
            </a:graphic>
            <wp14:sizeRelH relativeFrom="page">
              <wp14:pctWidth>0</wp14:pctWidth>
            </wp14:sizeRelH>
            <wp14:sizeRelV relativeFrom="page">
              <wp14:pctHeight>0</wp14:pctHeight>
            </wp14:sizeRelV>
          </wp:anchor>
        </w:drawing>
      </w:r>
    </w:p>
    <w:p w14:paraId="141BAEF4" w14:textId="4AB0BE86" w:rsidR="006E785C" w:rsidRPr="00D23F30" w:rsidRDefault="00AA2FB4" w:rsidP="00D23F30">
      <w:pPr>
        <w:pStyle w:val="Titre1"/>
        <w:snapToGrid w:val="0"/>
        <w:spacing w:before="100" w:after="120"/>
        <w:jc w:val="center"/>
        <w:rPr>
          <w:rFonts w:ascii="Impact" w:hAnsi="Impact"/>
          <w:b w:val="0"/>
          <w:color w:val="FFFFFF" w:themeColor="background1"/>
          <w:sz w:val="54"/>
          <w:szCs w:val="54"/>
        </w:rPr>
      </w:pPr>
      <w:bookmarkStart w:id="0" w:name="_Toc135140165"/>
      <w:r w:rsidRPr="009F58B2">
        <w:rPr>
          <w:rFonts w:ascii="Impact" w:hAnsi="Impact"/>
          <w:b w:val="0"/>
          <w:color w:val="FFFFFF" w:themeColor="background1"/>
          <w:sz w:val="54"/>
          <w:szCs w:val="54"/>
        </w:rPr>
        <w:t>PARTIE I :</w:t>
      </w:r>
      <w:r w:rsidR="00D23F30" w:rsidRPr="009F58B2">
        <w:rPr>
          <w:rFonts w:ascii="Impact" w:hAnsi="Impact"/>
          <w:b w:val="0"/>
          <w:color w:val="FFFFFF" w:themeColor="background1"/>
          <w:sz w:val="54"/>
          <w:szCs w:val="54"/>
        </w:rPr>
        <w:t xml:space="preserve"> </w:t>
      </w:r>
      <w:r w:rsidRPr="009F58B2">
        <w:rPr>
          <w:rFonts w:ascii="Impact" w:hAnsi="Impact"/>
          <w:b w:val="0"/>
          <w:color w:val="FFFFFF" w:themeColor="background1"/>
          <w:sz w:val="54"/>
          <w:szCs w:val="54"/>
        </w:rPr>
        <w:t>DIAGNOSTIC DE LA GOUVERNANCE DE L’INTEGRATION REGIONALE</w:t>
      </w:r>
      <w:bookmarkEnd w:id="0"/>
      <w:r w:rsidRPr="009F58B2">
        <w:rPr>
          <w:rFonts w:ascii="Impact" w:hAnsi="Impact"/>
          <w:b w:val="0"/>
          <w:color w:val="FFFFFF" w:themeColor="background1"/>
          <w:sz w:val="54"/>
          <w:szCs w:val="54"/>
        </w:rPr>
        <w:t xml:space="preserve"> </w:t>
      </w:r>
      <w:r w:rsidR="006E785C" w:rsidRPr="00D23F30">
        <w:rPr>
          <w:rFonts w:ascii="Impact" w:hAnsi="Impact"/>
          <w:b w:val="0"/>
          <w:sz w:val="54"/>
          <w:szCs w:val="54"/>
        </w:rPr>
        <w:br w:type="page"/>
      </w:r>
    </w:p>
    <w:p w14:paraId="09F5865A" w14:textId="59925715" w:rsidR="004A5ADB" w:rsidRPr="009F58B2" w:rsidRDefault="00D30A7C" w:rsidP="009F58B2">
      <w:pPr>
        <w:pStyle w:val="Titre2"/>
      </w:pPr>
      <w:bookmarkStart w:id="1" w:name="_Toc134287586"/>
      <w:bookmarkStart w:id="2" w:name="_Toc135140166"/>
      <w:r w:rsidRPr="009F58B2">
        <w:lastRenderedPageBreak/>
        <w:t xml:space="preserve">I. </w:t>
      </w:r>
      <w:r w:rsidR="004A5ADB" w:rsidRPr="009F58B2">
        <w:t>CONTEXTE ET JUSTIFICATION</w:t>
      </w:r>
      <w:bookmarkEnd w:id="1"/>
      <w:bookmarkEnd w:id="2"/>
    </w:p>
    <w:p w14:paraId="06D86085" w14:textId="77777777" w:rsidR="007D0115" w:rsidRPr="007D0115" w:rsidRDefault="007D0115" w:rsidP="007D0115">
      <w:bookmarkStart w:id="3" w:name="_TOC_250070"/>
      <w:bookmarkStart w:id="4" w:name="_Toc134287587"/>
      <w:bookmarkEnd w:id="3"/>
      <w:r w:rsidRPr="007D0115">
        <w:t>L’intégration régionale, particulièrement en Afrique, est la traduction d’une volonté politique de s’affranchir de l’étroitesse du marché intérieur et de la faiblesse des structures nationales de production. Elle se matérialise par l’adoption de mesures politiques concertées par un ensemble d’Etats en général géographiquement limitrophes. Ce processus de regroupement d’Etats en vue de la résolution et de la mutualisation de problématiques d’ordre politique et économique d’intérêt commun a connu une évolution dans le temps et un élargissement de son champ géographique.</w:t>
      </w:r>
    </w:p>
    <w:p w14:paraId="35FB7FFF" w14:textId="77777777" w:rsidR="007D0115" w:rsidRPr="007D0115" w:rsidRDefault="007D0115" w:rsidP="007D0115">
      <w:r w:rsidRPr="007D0115">
        <w:t>L’Etat du Sénégal, dès son accession à l’autonomie politique, en 1960, s’est fortement inscrit dans le processus d’intégration régionale. A cet égard, il a adopté un positionnement sans équivoque. En effet, la Constitution dispose, en son Préambule, que « le Peuple sénégalais est soucieux de préparer la voie à l'unité africaine et d'assurer les perspectives que comporte cette unité ». Cet attachement aux vertus de l’intégration régionale explique la participation active du pays à toutes les grandes initiatives africaines en matière d'intégration telles que l'Union Africaine (UA) ; de la Communauté Economique des Etats de l'Afrique de l'Ouest (CEDEAO) ; de l'Union Economique et Monétaire Ouest Africaine (UEMOA), entre autres, dont il est souvent membre fondateur.</w:t>
      </w:r>
    </w:p>
    <w:p w14:paraId="0C6A1D86" w14:textId="77777777" w:rsidR="007D0115" w:rsidRPr="007D0115" w:rsidRDefault="007D0115" w:rsidP="007D0115">
      <w:r w:rsidRPr="007D0115">
        <w:t>L’ambition de faire de l’intégration régionale un levier de développement économique et social explique qu'un chapitre du document du Plan Sénégal Émergent de 2014 soit consacré au thème de l'intégration régionale en tant que pilier essentiel de l'émergence.</w:t>
      </w:r>
    </w:p>
    <w:p w14:paraId="5DFB66E2" w14:textId="77777777" w:rsidR="007D0115" w:rsidRPr="007D0115" w:rsidRDefault="007D0115" w:rsidP="007D0115">
      <w:r w:rsidRPr="007D0115">
        <w:t>Par ailleurs, la dynamique de changements majeurs en cours à l’échelle mondiale n’est pas sans effet sur l’évolution du pays. Au nombre de ces changements, il y’a l’adoption en 2013 par l’Union africaine de son Agenda pour les 50 prochaines années (Agenda 2063), qui décrit les 7 aspirations des populations pour « l’Afrique que nous voulons ». En 2015, les Nations unies ont adopté les 17 Objectifs de Développement Durables (ODD). Ces ODD ont fait l’objet d’une appropriation par l’UA et constituent des marqueurs importants de l’action des Etats membres sur l’horizon temporelle fixée. Également, en 2021, les Chefs d’Etat et de Gouvernement de la CEDEAO ont adopté le document régional de prospective dénommé « Vision 2050 » ayant comme fondement « une communauté de peuples pleinement intégrée dans une région paisible, prospère, avec des institutions fortes et respectueuses des libertés fondamentales et œuvrant pour un développement inclusif et durable ».</w:t>
      </w:r>
    </w:p>
    <w:p w14:paraId="10A6D7B4" w14:textId="77777777" w:rsidR="007D0115" w:rsidRPr="007D0115" w:rsidRDefault="007D0115" w:rsidP="007D0115">
      <w:r w:rsidRPr="007D0115">
        <w:t>En outre, l’approfondissement de l’intégration continentale impulsé par la mise en place de la ZLECAf constitue un indicateur marquant du contexte actuel dans lequel évolue les pays de la région et qui nécessite une certaine adaptation de l’orientation stratégique du pays afin d’insérer l’économie nationale dans une dynamique de compétitivité et de croissance durable.</w:t>
      </w:r>
    </w:p>
    <w:p w14:paraId="6BADC192" w14:textId="77777777" w:rsidR="007D0115" w:rsidRPr="007D0115" w:rsidRDefault="007D0115" w:rsidP="007D0115">
      <w:r w:rsidRPr="007D0115">
        <w:t>Ces différents cadres régionaux dans lesquels le Sénégal est partie prenante justifient le rôle donné à l’intégration régionale comme une réponse aux défis du développement. La CEDEAO et l’UEMOA, à travers les dynamiques de réformes qu’elles impulsent, constituent ainsi des acteurs importants à prendre en considération.</w:t>
      </w:r>
    </w:p>
    <w:p w14:paraId="03E7EC30" w14:textId="77777777" w:rsidR="007D0115" w:rsidRPr="007D0115" w:rsidRDefault="007D0115" w:rsidP="007D0115">
      <w:r w:rsidRPr="007D0115">
        <w:t xml:space="preserve">Par ailleurs, le contexte d’insécurité qui sévit dans la région notamment dans le sahel (Mali, Niger, Burkina Faso et Nigéria) ainsi que les vulnérabilités économiques et sanitaires des Etats face aux chocs extérieurs, révélées à l’occasion de la pandémie de Covid 19, renseignent sur </w:t>
      </w:r>
      <w:r w:rsidRPr="007D0115">
        <w:lastRenderedPageBreak/>
        <w:t xml:space="preserve">l’étroite interdépendance des pays et la nécessité d’une mutualisation des efforts et des moyens en vue de bâtir des systèmes économiques et sociaux résilients et durables. </w:t>
      </w:r>
    </w:p>
    <w:p w14:paraId="735CA183" w14:textId="77777777" w:rsidR="007D0115" w:rsidRPr="007D0115" w:rsidRDefault="007D0115" w:rsidP="007D0115">
      <w:r w:rsidRPr="007D0115">
        <w:t>Ces différents enjeux et défis à la fois sécuritaire, économique, démographique, politique et environnemental ont un impact sur la conduite de la politique économique du pays et méritent ainsi d’être pris en compte dans le cadre de cette stratégie nationale d’intégration.</w:t>
      </w:r>
    </w:p>
    <w:p w14:paraId="5F24F5E0" w14:textId="77777777" w:rsidR="007D0115" w:rsidRDefault="007D0115" w:rsidP="007D0115">
      <w:pPr>
        <w:rPr>
          <w:caps/>
        </w:rPr>
      </w:pPr>
      <w:r w:rsidRPr="007D0115">
        <w:t>L’élaboration de la stratégie nationale d’intégration a emprunté une démarche analytique qui s’appuie sur un examen approfondi des forces, des contraintes, des enjeux et défis pour le Sénégal en vue de tirer le meilleur profit de l’intégration régionale. L’adoption de la stratégie nationale d’intégration permettra sans doute de renforcer les bases de la compétitivité de l’économie sénégalaise, par ricochet, son positionnement stratégique sur les marchés régionaux et d’assurer une meilleure cohérence du cadre de gouvernance de l’intégration régionale et une optimalité du dispositif institutionnel y afférent.</w:t>
      </w:r>
    </w:p>
    <w:p w14:paraId="74C72675" w14:textId="27F97189" w:rsidR="004A5ADB" w:rsidRDefault="00D30A7C" w:rsidP="007D0115">
      <w:pPr>
        <w:pStyle w:val="Titre2"/>
      </w:pPr>
      <w:bookmarkStart w:id="5" w:name="_Toc135140167"/>
      <w:r>
        <w:t xml:space="preserve">II. </w:t>
      </w:r>
      <w:r w:rsidR="004A5ADB">
        <w:t>APPROCHE METHODOLOGIQUE</w:t>
      </w:r>
      <w:bookmarkStart w:id="6" w:name="_Toc123198998"/>
      <w:bookmarkEnd w:id="4"/>
      <w:bookmarkEnd w:id="5"/>
    </w:p>
    <w:p w14:paraId="0FC02528" w14:textId="746070D2" w:rsidR="004A5ADB" w:rsidRPr="00D30A7C" w:rsidRDefault="00D30A7C" w:rsidP="00D30A7C">
      <w:pPr>
        <w:pStyle w:val="Titre3"/>
      </w:pPr>
      <w:bookmarkStart w:id="7" w:name="_Toc134287588"/>
      <w:bookmarkStart w:id="8" w:name="_Toc135140168"/>
      <w:r w:rsidRPr="00D30A7C">
        <w:t xml:space="preserve">II. 1. </w:t>
      </w:r>
      <w:r w:rsidR="004A5ADB" w:rsidRPr="00D30A7C">
        <w:t>Démarche</w:t>
      </w:r>
      <w:bookmarkEnd w:id="7"/>
      <w:bookmarkEnd w:id="8"/>
    </w:p>
    <w:p w14:paraId="0F18F6AA" w14:textId="77777777" w:rsidR="007D0115" w:rsidRPr="00913D81" w:rsidRDefault="007D0115" w:rsidP="007D0115">
      <w:r w:rsidRPr="00913D81">
        <w:t>La présente stratégie a l’ambition d’être un document de référence pour tous les acteurs de l’économie nationale en matière d’intégration. C’est pourquoi son élaboration s’est faite selon un processus participatif et inclusif. De manière spécifique, il a été procédé à des consultations en présentielle ou par visioconférence auprès des représentants de structures nationales, du secteur privé, de la société civile et des institutions internationales.</w:t>
      </w:r>
    </w:p>
    <w:p w14:paraId="0EC1CF40" w14:textId="26E789E0" w:rsidR="004A5ADB" w:rsidRDefault="007D0115" w:rsidP="007D0115">
      <w:r w:rsidRPr="00913D81">
        <w:t>En outre, une mission de benchmark a été diligentée auprès des Commissions de la CEDEAO et de l’</w:t>
      </w:r>
      <w:r>
        <w:t>UEMOA ainsi qu’en Côte d’ivoire</w:t>
      </w:r>
      <w:r w:rsidR="004A5ADB">
        <w:t>.</w:t>
      </w:r>
    </w:p>
    <w:p w14:paraId="5FF3E674" w14:textId="16E545E2" w:rsidR="004A5ADB" w:rsidRDefault="00B1036B" w:rsidP="00B1036B">
      <w:pPr>
        <w:pStyle w:val="Titre3"/>
        <w:rPr>
          <w:rFonts w:cs="Arial"/>
        </w:rPr>
      </w:pPr>
      <w:bookmarkStart w:id="9" w:name="_Toc134287589"/>
      <w:bookmarkStart w:id="10" w:name="_Toc135140169"/>
      <w:r>
        <w:t xml:space="preserve">II.2. </w:t>
      </w:r>
      <w:r w:rsidR="004A5ADB">
        <w:t>Revue documentaire</w:t>
      </w:r>
      <w:bookmarkEnd w:id="6"/>
      <w:bookmarkEnd w:id="9"/>
      <w:bookmarkEnd w:id="10"/>
    </w:p>
    <w:p w14:paraId="5726C2EA" w14:textId="77777777" w:rsidR="007D0115" w:rsidRPr="00913D81" w:rsidRDefault="007D0115" w:rsidP="007D0115">
      <w:bookmarkStart w:id="11" w:name="_Hlk121481593"/>
      <w:r w:rsidRPr="00913D81">
        <w:t xml:space="preserve">La collecte de la documentation et de l’information pertinente a été réalisée en quatre étapes. La recherche </w:t>
      </w:r>
      <w:bookmarkStart w:id="12" w:name="_Hlk119927372"/>
      <w:r w:rsidRPr="00913D81">
        <w:t>documentaire</w:t>
      </w:r>
      <w:bookmarkEnd w:id="12"/>
      <w:r w:rsidRPr="00913D81">
        <w:t xml:space="preserve"> a débuté par l’inventaire des textes officiels. Il s’agit essentiellement des textes réglementaires relatifs à la participation du Sénégal à des organisations d’intégration régionale. Dans cette étape, les traités et conventions instituant les organisations internationales ou communautés économiques régionales auxquelles le Sénégal est partie prenante ont été répertoriés. </w:t>
      </w:r>
    </w:p>
    <w:p w14:paraId="05107CFA" w14:textId="77777777" w:rsidR="007D0115" w:rsidRPr="00913D81" w:rsidRDefault="007D0115" w:rsidP="007D0115">
      <w:r w:rsidRPr="00913D81">
        <w:t xml:space="preserve">La deuxième étape de la revue documentaire a été consacrée </w:t>
      </w:r>
      <w:bookmarkStart w:id="13" w:name="_Hlk119591673"/>
      <w:r w:rsidRPr="00913D81">
        <w:t>à la consultation des études économiques et des données statistiques, notamment celles de l'Agence nationale de la statistique et de la démographie (ANSD).</w:t>
      </w:r>
    </w:p>
    <w:bookmarkEnd w:id="13"/>
    <w:p w14:paraId="649740DC" w14:textId="77777777" w:rsidR="007D0115" w:rsidRPr="00913D81" w:rsidRDefault="007D0115" w:rsidP="007D0115">
      <w:r w:rsidRPr="00913D81">
        <w:t>La troisième étape a porté sur l’examen de la documentation relative à la politique nationale d’intégration de la Côte d’Ivoire, du Mali et de la Gambie. Il s’agit des trois documents suivants :</w:t>
      </w:r>
    </w:p>
    <w:p w14:paraId="0D86EEE4" w14:textId="77777777" w:rsidR="004A5ADB" w:rsidRDefault="004A5ADB" w:rsidP="007D0115">
      <w:pPr>
        <w:pStyle w:val="Corpsdetexte"/>
        <w:widowControl w:val="0"/>
        <w:numPr>
          <w:ilvl w:val="0"/>
          <w:numId w:val="12"/>
        </w:numPr>
        <w:autoSpaceDE w:val="0"/>
        <w:autoSpaceDN w:val="0"/>
        <w:ind w:left="709" w:right="57" w:hanging="283"/>
        <w:rPr>
          <w:rFonts w:cs="Arial"/>
          <w:szCs w:val="24"/>
        </w:rPr>
      </w:pPr>
      <w:r>
        <w:rPr>
          <w:rFonts w:cs="Arial"/>
          <w:szCs w:val="24"/>
        </w:rPr>
        <w:t xml:space="preserve">le Plan Stratégique de l’Intégration 2018–2022 </w:t>
      </w:r>
      <w:bookmarkStart w:id="14" w:name="_Hlk121475465"/>
      <w:r>
        <w:rPr>
          <w:rFonts w:cs="Arial"/>
          <w:szCs w:val="24"/>
        </w:rPr>
        <w:t>de la Côte d’Ivoire</w:t>
      </w:r>
      <w:bookmarkEnd w:id="14"/>
      <w:r>
        <w:rPr>
          <w:rFonts w:cs="Arial"/>
          <w:szCs w:val="24"/>
        </w:rPr>
        <w:t xml:space="preserve"> (PSI);</w:t>
      </w:r>
    </w:p>
    <w:p w14:paraId="0C87471F" w14:textId="77777777" w:rsidR="004A5ADB" w:rsidRDefault="004A5ADB" w:rsidP="008D6FC6">
      <w:pPr>
        <w:pStyle w:val="Corpsdetexte"/>
        <w:widowControl w:val="0"/>
        <w:numPr>
          <w:ilvl w:val="0"/>
          <w:numId w:val="12"/>
        </w:numPr>
        <w:autoSpaceDE w:val="0"/>
        <w:autoSpaceDN w:val="0"/>
        <w:ind w:left="709" w:right="57" w:hanging="283"/>
        <w:rPr>
          <w:rFonts w:cs="Arial"/>
          <w:szCs w:val="24"/>
        </w:rPr>
      </w:pPr>
      <w:r>
        <w:rPr>
          <w:rFonts w:cs="Arial"/>
          <w:szCs w:val="24"/>
        </w:rPr>
        <w:t>la Politique Nationale en matière d’Intégration Africaine du Mali (PNIAM).</w:t>
      </w:r>
    </w:p>
    <w:p w14:paraId="34B5E739" w14:textId="77777777" w:rsidR="007D0115" w:rsidRPr="00913D81" w:rsidRDefault="007D0115" w:rsidP="007D0115">
      <w:r w:rsidRPr="00913D81">
        <w:t>Enfin, la dernière étape a été consacrée à la revue documentaire relative à l’intégration africaine, notamment celle réalisée par les communautés économiques régionales (CER) ou par des partenaires techniques et financiers. A cette occasion, les documents ci-après ont été examinés :</w:t>
      </w:r>
    </w:p>
    <w:bookmarkEnd w:id="11"/>
    <w:p w14:paraId="54ADB4B0" w14:textId="77777777" w:rsidR="007D0115" w:rsidRPr="007D0115" w:rsidRDefault="007D0115" w:rsidP="007D0115">
      <w:pPr>
        <w:pStyle w:val="Corpsdetexte"/>
        <w:widowControl w:val="0"/>
        <w:numPr>
          <w:ilvl w:val="0"/>
          <w:numId w:val="12"/>
        </w:numPr>
        <w:autoSpaceDE w:val="0"/>
        <w:autoSpaceDN w:val="0"/>
        <w:ind w:left="709" w:right="57" w:hanging="283"/>
        <w:rPr>
          <w:rFonts w:cs="Arial"/>
          <w:szCs w:val="24"/>
        </w:rPr>
      </w:pPr>
      <w:r w:rsidRPr="007D0115">
        <w:rPr>
          <w:rFonts w:cs="Arial"/>
          <w:szCs w:val="24"/>
        </w:rPr>
        <w:lastRenderedPageBreak/>
        <w:t>le Cadre d'Actions Prioritaires de la Commission de l'UEMOA 2021-2025 (CAP2025) qui constitue la feuille de route pour le mandat en cours ;</w:t>
      </w:r>
    </w:p>
    <w:p w14:paraId="26F9B0A9" w14:textId="77777777" w:rsidR="007D0115" w:rsidRPr="007D0115" w:rsidRDefault="007D0115" w:rsidP="007D0115">
      <w:pPr>
        <w:pStyle w:val="Corpsdetexte"/>
        <w:widowControl w:val="0"/>
        <w:numPr>
          <w:ilvl w:val="0"/>
          <w:numId w:val="12"/>
        </w:numPr>
        <w:autoSpaceDE w:val="0"/>
        <w:autoSpaceDN w:val="0"/>
        <w:ind w:left="709" w:right="57" w:hanging="283"/>
        <w:rPr>
          <w:rFonts w:cs="Arial"/>
          <w:szCs w:val="24"/>
        </w:rPr>
      </w:pPr>
      <w:r w:rsidRPr="007D0115">
        <w:rPr>
          <w:rFonts w:cs="Arial"/>
          <w:szCs w:val="24"/>
        </w:rPr>
        <w:t>la Vision 2050 de la CEDEAO «La CEDEAO des Peuples : Paix et Prospérité pour tous » ;</w:t>
      </w:r>
    </w:p>
    <w:p w14:paraId="53FB0C60" w14:textId="77777777" w:rsidR="007D0115" w:rsidRPr="007D0115" w:rsidRDefault="007D0115" w:rsidP="007D0115">
      <w:pPr>
        <w:pStyle w:val="Corpsdetexte"/>
        <w:widowControl w:val="0"/>
        <w:numPr>
          <w:ilvl w:val="0"/>
          <w:numId w:val="12"/>
        </w:numPr>
        <w:autoSpaceDE w:val="0"/>
        <w:autoSpaceDN w:val="0"/>
        <w:ind w:left="709" w:right="57" w:hanging="283"/>
        <w:rPr>
          <w:rFonts w:cs="Arial"/>
          <w:szCs w:val="24"/>
        </w:rPr>
      </w:pPr>
      <w:r w:rsidRPr="007D0115">
        <w:rPr>
          <w:rFonts w:cs="Arial"/>
          <w:szCs w:val="24"/>
        </w:rPr>
        <w:t>l’Agenda 2063 de l'Union africaine, cadre stratégique pour la transformation socio-économique du continent, à travers une mise en œuvre accélérée de la croissance et du développement durable.</w:t>
      </w:r>
    </w:p>
    <w:p w14:paraId="2D4449AF" w14:textId="77777777" w:rsidR="004A5ADB" w:rsidRDefault="004A5ADB" w:rsidP="008D6FC6">
      <w:pPr>
        <w:pStyle w:val="Corpsdetexte"/>
        <w:ind w:right="57"/>
        <w:rPr>
          <w:rFonts w:cs="Arial"/>
          <w:szCs w:val="24"/>
        </w:rPr>
      </w:pPr>
      <w:r>
        <w:rPr>
          <w:rFonts w:cs="Arial"/>
          <w:szCs w:val="24"/>
        </w:rPr>
        <w:t>La liste des ouvrages ou des publications consultés, ainsi celle des traités et conventions internationaux figurent en Annexe V.</w:t>
      </w:r>
    </w:p>
    <w:p w14:paraId="2FCB88AE" w14:textId="3CD61745" w:rsidR="004A5ADB" w:rsidRDefault="008D6FC6" w:rsidP="008D6FC6">
      <w:pPr>
        <w:pStyle w:val="Titre2"/>
      </w:pPr>
      <w:bookmarkStart w:id="15" w:name="_Toc134287590"/>
      <w:bookmarkStart w:id="16" w:name="_Toc135140170"/>
      <w:r>
        <w:t xml:space="preserve">III. </w:t>
      </w:r>
      <w:r w:rsidR="004A5ADB">
        <w:t>ANALYSE DIAGNOSTIQUE DE L’INTEGRATION REGIONALE</w:t>
      </w:r>
      <w:bookmarkEnd w:id="15"/>
      <w:bookmarkEnd w:id="16"/>
    </w:p>
    <w:p w14:paraId="1C9348BB" w14:textId="6BB2C214" w:rsidR="007D0115" w:rsidRPr="007D0115" w:rsidRDefault="007D0115" w:rsidP="007D0115">
      <w:r w:rsidRPr="00913D81">
        <w:t>L’analyse diagnostique a mis l’accent sur les problématiques de gouvernance de l’intégration régionale et la compétitivité et le développement inclusif.</w:t>
      </w:r>
    </w:p>
    <w:p w14:paraId="7F889D0F" w14:textId="30245C91" w:rsidR="004A5ADB" w:rsidRPr="008D6FC6" w:rsidRDefault="008D6FC6" w:rsidP="008D6FC6">
      <w:pPr>
        <w:pStyle w:val="Titre3"/>
      </w:pPr>
      <w:bookmarkStart w:id="17" w:name="_Toc134287591"/>
      <w:bookmarkStart w:id="18" w:name="_Toc135140171"/>
      <w:r w:rsidRPr="008D6FC6">
        <w:t xml:space="preserve">III.1. </w:t>
      </w:r>
      <w:r w:rsidR="004A5ADB" w:rsidRPr="008D6FC6">
        <w:t>Gouvernance de l’intégration régionale</w:t>
      </w:r>
      <w:bookmarkEnd w:id="17"/>
      <w:bookmarkEnd w:id="18"/>
    </w:p>
    <w:p w14:paraId="522DB7E6" w14:textId="0B037A58" w:rsidR="004A5ADB" w:rsidRDefault="007D0115" w:rsidP="008D6FC6">
      <w:pPr>
        <w:spacing w:before="120" w:after="100" w:afterAutospacing="1"/>
        <w:ind w:right="57"/>
        <w:rPr>
          <w:rFonts w:cs="Arial"/>
          <w:szCs w:val="24"/>
        </w:rPr>
      </w:pPr>
      <w:r w:rsidRPr="007D0115">
        <w:rPr>
          <w:rFonts w:cs="Arial"/>
          <w:szCs w:val="24"/>
        </w:rPr>
        <w:t>La gouvernance de l’intégration régionale peut être appréciée sur les plans politique, juridique, insti</w:t>
      </w:r>
      <w:r>
        <w:rPr>
          <w:rFonts w:cs="Arial"/>
          <w:szCs w:val="24"/>
        </w:rPr>
        <w:t>tutionnel, économique et social</w:t>
      </w:r>
      <w:r w:rsidR="004A5ADB">
        <w:rPr>
          <w:rFonts w:cs="Arial"/>
          <w:szCs w:val="24"/>
        </w:rPr>
        <w:t>.</w:t>
      </w:r>
    </w:p>
    <w:p w14:paraId="3EF4C487" w14:textId="2D820DD7" w:rsidR="004A5ADB" w:rsidRPr="008D6FC6" w:rsidRDefault="008D6FC6" w:rsidP="008D6FC6">
      <w:pPr>
        <w:pStyle w:val="Titre4"/>
        <w:spacing w:after="180"/>
      </w:pPr>
      <w:bookmarkStart w:id="19" w:name="_Toc134287592"/>
      <w:bookmarkStart w:id="20" w:name="_Toc135140172"/>
      <w:r w:rsidRPr="008D6FC6">
        <w:t xml:space="preserve">III.1.1. </w:t>
      </w:r>
      <w:r w:rsidR="004A5ADB" w:rsidRPr="008D6FC6">
        <w:t>Gouvernance politique, juridique et institutionnelle</w:t>
      </w:r>
      <w:bookmarkEnd w:id="19"/>
      <w:bookmarkEnd w:id="20"/>
    </w:p>
    <w:p w14:paraId="2227FDFB" w14:textId="77777777" w:rsidR="007D0115" w:rsidRPr="007D0115" w:rsidRDefault="004A5ADB" w:rsidP="007D0115">
      <w:pPr>
        <w:ind w:right="57"/>
        <w:rPr>
          <w:rFonts w:cs="Arial"/>
          <w:szCs w:val="24"/>
        </w:rPr>
      </w:pPr>
      <w:r>
        <w:rPr>
          <w:rFonts w:cs="Arial"/>
          <w:b/>
          <w:bCs/>
          <w:szCs w:val="24"/>
        </w:rPr>
        <w:t>Sur le plan politique,</w:t>
      </w:r>
      <w:r>
        <w:rPr>
          <w:rFonts w:cs="Arial"/>
          <w:szCs w:val="24"/>
        </w:rPr>
        <w:t xml:space="preserve"> </w:t>
      </w:r>
      <w:r w:rsidR="007D0115" w:rsidRPr="007D0115">
        <w:rPr>
          <w:rFonts w:cs="Arial"/>
          <w:szCs w:val="24"/>
        </w:rPr>
        <w:t>le Sénégal a toujours été un modèle dans le processus d’intégration régionale. Il est membre de plusieurs institutions sous régionales. Il met en œuvre la plupart des textes de l’UEMOA, de la CEDEAO et de l’UA.</w:t>
      </w:r>
    </w:p>
    <w:p w14:paraId="73475BF9" w14:textId="77777777" w:rsidR="007D0115" w:rsidRPr="007D0115" w:rsidRDefault="007D0115" w:rsidP="007D0115">
      <w:pPr>
        <w:ind w:right="57"/>
        <w:rPr>
          <w:rFonts w:cs="Arial"/>
          <w:szCs w:val="24"/>
        </w:rPr>
      </w:pPr>
      <w:r w:rsidRPr="007D0115">
        <w:rPr>
          <w:rFonts w:cs="Arial"/>
          <w:szCs w:val="24"/>
        </w:rPr>
        <w:t>Le pays a toujours assuré un leadership politique avéré dans les organisations africaines d’intégration régionale, que ce soit au niveau de la sous-région, de la région ou du continent. Il a été un acteur majeur dans les initiatives ayant permis de mettre en place les organisations d’intégration régionale telles que la CEAO, l’OUA, l’OMVS, l’OMVG, l’UEMOA, la CEDEAO et le NEPAD. Les plus hautes autorités sénégalaises ont toujours bénéficié, au niveau international, d’un grand respect et d’une influence certaine. En effet, le Sénégal se démarque de par son engagement en faveur de l’intégration régionale, à la consolidation de la paix et de la sécurité et pour le respect des textes communautaires.</w:t>
      </w:r>
    </w:p>
    <w:p w14:paraId="29963C49" w14:textId="146FE0C5" w:rsidR="004A5ADB" w:rsidRDefault="007D0115" w:rsidP="007D0115">
      <w:pPr>
        <w:ind w:right="57"/>
        <w:rPr>
          <w:rFonts w:cs="Arial"/>
          <w:szCs w:val="24"/>
        </w:rPr>
      </w:pPr>
      <w:r w:rsidRPr="007D0115">
        <w:rPr>
          <w:rFonts w:cs="Arial"/>
          <w:szCs w:val="24"/>
        </w:rPr>
        <w:t>L’intégration régionale est perçue comme un enjeu important pour renforcer la dynamique de croissance et impulser le développement. Sa prise en considération se traduit par la signature d’un nombre important d’accords de siège visant à permettre à de nombreuses organisations de se dépl</w:t>
      </w:r>
      <w:r>
        <w:rPr>
          <w:rFonts w:cs="Arial"/>
          <w:szCs w:val="24"/>
        </w:rPr>
        <w:t>oyer sur le territoire national</w:t>
      </w:r>
      <w:r w:rsidR="004A5ADB">
        <w:rPr>
          <w:rFonts w:cs="Arial"/>
          <w:szCs w:val="24"/>
        </w:rPr>
        <w:t>.</w:t>
      </w:r>
    </w:p>
    <w:p w14:paraId="62416E68" w14:textId="1AF795A3" w:rsidR="007D0115" w:rsidRPr="007D0115" w:rsidRDefault="004A5ADB" w:rsidP="000E368D">
      <w:pPr>
        <w:ind w:right="57"/>
        <w:rPr>
          <w:rFonts w:cs="Arial"/>
          <w:szCs w:val="24"/>
        </w:rPr>
      </w:pPr>
      <w:r>
        <w:rPr>
          <w:rFonts w:cs="Arial"/>
          <w:b/>
          <w:bCs/>
          <w:szCs w:val="24"/>
        </w:rPr>
        <w:t xml:space="preserve">Dans le domaine de la paix et de la sécurité, </w:t>
      </w:r>
      <w:r w:rsidR="007D0115" w:rsidRPr="007D0115">
        <w:rPr>
          <w:rFonts w:cs="Arial"/>
          <w:szCs w:val="24"/>
        </w:rPr>
        <w:t xml:space="preserve">le pays a toujours affirmé son engagement à promouvoir, la paix, la sécurité et la stabilité dans la région, conditions préalables à l’intégration régionale. Toutefois, la recrudescence et l’expansion des attaques terroristes dans certains pays et leurs conséquences humanitaires constituent une menace sérieuse pour l’ensemble de la région. Pour faire face à cette situation sécuritaire très préoccupante, la Commission de la CEDEAO et celle de l’UEMOA ont adopté des Plans d’actions prioritaires visant à éradiquer le terrorisme dans la région grâce notamment au renforcement des équipements des forces de défense et de sécurité, la formation, la coopération, le renseignement et les opérations de maintien et de consolidation de la paix. Dans ce cadre, on </w:t>
      </w:r>
      <w:r w:rsidR="007D0115" w:rsidRPr="007D0115">
        <w:rPr>
          <w:rFonts w:cs="Arial"/>
          <w:szCs w:val="24"/>
        </w:rPr>
        <w:lastRenderedPageBreak/>
        <w:t>note que le Sénégal participe pratiquement à toutes les missions de maintien de la paix en Afrique, en général et dans la sous-région en particulier (ECOMOG de la CEDEAO, force africaine en attente de l’UA, MINUSMA, G5 Sahel, etc</w:t>
      </w:r>
      <w:r w:rsidR="00B869E0">
        <w:rPr>
          <w:rFonts w:cs="Arial"/>
          <w:szCs w:val="24"/>
        </w:rPr>
        <w:t>.</w:t>
      </w:r>
      <w:bookmarkStart w:id="21" w:name="_GoBack"/>
      <w:bookmarkEnd w:id="21"/>
      <w:r w:rsidR="007D0115" w:rsidRPr="007D0115">
        <w:rPr>
          <w:rFonts w:cs="Arial"/>
          <w:szCs w:val="24"/>
        </w:rPr>
        <w:t xml:space="preserve">). </w:t>
      </w:r>
    </w:p>
    <w:p w14:paraId="033588C4" w14:textId="6E00422C" w:rsidR="007D0115" w:rsidRPr="007D0115" w:rsidRDefault="007D0115" w:rsidP="000E368D">
      <w:pPr>
        <w:ind w:right="57"/>
        <w:rPr>
          <w:rFonts w:cs="Arial"/>
          <w:szCs w:val="24"/>
        </w:rPr>
      </w:pPr>
      <w:r w:rsidRPr="007D0115">
        <w:rPr>
          <w:rFonts w:cs="Arial"/>
          <w:szCs w:val="24"/>
        </w:rPr>
        <w:t xml:space="preserve">En termes de respect des engagements communautaires, le Sénégal est parti-prenant dans plusieurs organisations </w:t>
      </w:r>
      <w:r w:rsidR="00B869E0">
        <w:rPr>
          <w:rFonts w:cs="Arial"/>
          <w:szCs w:val="24"/>
        </w:rPr>
        <w:t xml:space="preserve">d’intégration régionale et sous </w:t>
      </w:r>
      <w:r w:rsidRPr="007D0115">
        <w:rPr>
          <w:rFonts w:cs="Arial"/>
          <w:szCs w:val="24"/>
        </w:rPr>
        <w:t>régionale. Il a signé ou ratifié plus de la moitié des traités et protocoles de la CEDEAO et de l’UA. Cependant, la non internalisation des actes des organisations communautaires est l’une des principales contraintes à relever. Elle est de nature à affaiblir le processus d’intégration régionale. En effet, la non-transposition des directives entraine leur inapplication, ce qui compromet considérablement le principe de l’harmonisation de la réglementation communautaire. De même, la non-application des actes qui, comme les règlements, entrent directement dans l’ordonnancement juridique des Etats membres pose un problème de légalité de l’action de l’administration publique. Cette faiblesse dans la mise en œuvre des actes est plus marquée pour les actes de la CEDEAO et de l’UA que pour ceux de l’UEMOA. En effet, cette dernière a institué par Acte additionnel no 05/2013/CCEG/UEMOA du 24 octobre 2013 portant institution de la revue annuelle des réformes, politiques, programmes et projets communautaires pour assurer le suivi de la mise en œuvre des réformes de l’Union. Il convient de rappeler que le Sénégal a fait l’objet en 2016 d’une évaluation dans le cadre du Mécanisme Africain d’Evaluation par les Pairs (MAEP) créé par l’UA suite à la déclaration d’Abuja. Cet exercice vise à s’assurer que les politiques et les pratiques des Etats sont conformes aux valeurs, codes, normes de bonne gouvernance contenu</w:t>
      </w:r>
      <w:r w:rsidR="00B869E0">
        <w:rPr>
          <w:rFonts w:cs="Arial"/>
          <w:szCs w:val="24"/>
        </w:rPr>
        <w:t>e</w:t>
      </w:r>
      <w:r w:rsidRPr="007D0115">
        <w:rPr>
          <w:rFonts w:cs="Arial"/>
          <w:szCs w:val="24"/>
        </w:rPr>
        <w:t xml:space="preserve">s dans la déclaration sur la bonne gouvernance démocratique, politique, économique et des entreprises, adoptée le 9 mars 2003 à Abuja.  </w:t>
      </w:r>
    </w:p>
    <w:p w14:paraId="252A2FC4" w14:textId="5E7875CE" w:rsidR="004A5ADB" w:rsidRDefault="007D0115" w:rsidP="000E368D">
      <w:pPr>
        <w:ind w:right="57"/>
        <w:rPr>
          <w:rFonts w:cs="Arial"/>
          <w:w w:val="105"/>
          <w:szCs w:val="24"/>
        </w:rPr>
      </w:pPr>
      <w:r w:rsidRPr="007D0115">
        <w:rPr>
          <w:rFonts w:cs="Arial"/>
          <w:szCs w:val="24"/>
        </w:rPr>
        <w:t>Toutefois, en matière de gouvernance politique, il est noté que le Sénégal ne parvient toujours pas à maximiser les gains qu’il tire de l’intégration régionale, notamment de l’UEMOA et de la CEDEAO qui sont ses cercles les plus proches. Cette situation pourrait s’expliquer par l’absence d’un cadre de référence déclinant ses stratégies en matière d’intégration régionale. Cela met en relief ses limites pour matérialiser et faire prévaloir sa vision de l’intégration auprès des autres pays africains. Il est noté en effet que les dossiers afférant à l’intégration régionale ne font pas systématiquement l’objet d’un traitement coordonné et concerté pour permettre au pays de défendre pleinement ses intérêts. Il s’y ajoute l’absence d’une synergie entre les différents acteurs pour assurer la cohérence dans la mise en œ</w:t>
      </w:r>
      <w:r>
        <w:rPr>
          <w:rFonts w:cs="Arial"/>
          <w:szCs w:val="24"/>
        </w:rPr>
        <w:t>uvre des initiatives régionales</w:t>
      </w:r>
      <w:r w:rsidR="004A5ADB">
        <w:rPr>
          <w:rFonts w:cs="Arial"/>
          <w:w w:val="105"/>
          <w:szCs w:val="24"/>
        </w:rPr>
        <w:t xml:space="preserve">. </w:t>
      </w:r>
    </w:p>
    <w:p w14:paraId="466E42F7" w14:textId="77777777" w:rsidR="007D0115" w:rsidRPr="00913D81" w:rsidRDefault="004A5ADB" w:rsidP="000E368D">
      <w:pPr>
        <w:pStyle w:val="Corpsdetexte"/>
        <w:ind w:right="57"/>
        <w:rPr>
          <w:rFonts w:cs="Arial"/>
          <w:w w:val="105"/>
          <w:szCs w:val="24"/>
        </w:rPr>
      </w:pPr>
      <w:r>
        <w:rPr>
          <w:rFonts w:cs="Arial"/>
          <w:b/>
          <w:bCs/>
          <w:w w:val="105"/>
          <w:szCs w:val="24"/>
        </w:rPr>
        <w:t>Au plan juridique,</w:t>
      </w:r>
      <w:r>
        <w:rPr>
          <w:rFonts w:cs="Arial"/>
          <w:w w:val="105"/>
          <w:szCs w:val="24"/>
        </w:rPr>
        <w:t xml:space="preserve"> </w:t>
      </w:r>
      <w:r w:rsidR="007D0115" w:rsidRPr="00913D81">
        <w:rPr>
          <w:rFonts w:cs="Arial"/>
          <w:w w:val="105"/>
          <w:szCs w:val="24"/>
        </w:rPr>
        <w:t>l’intégration régionale trouve sa source fondamentale dans la Constitution. Dès la première Constitution de 1960, il a été énoncé au préambule « Que la République du Sénégal ne ménagera aucun effort pour la réalisation de l’unité africaine ».</w:t>
      </w:r>
    </w:p>
    <w:p w14:paraId="0F0BDEB1" w14:textId="77777777" w:rsidR="007D0115" w:rsidRPr="00913D81" w:rsidRDefault="007D0115" w:rsidP="000E368D">
      <w:pPr>
        <w:pStyle w:val="Corpsdetexte"/>
        <w:ind w:right="57"/>
        <w:rPr>
          <w:rFonts w:cs="Arial"/>
          <w:w w:val="105"/>
          <w:szCs w:val="24"/>
        </w:rPr>
      </w:pPr>
      <w:r w:rsidRPr="00913D81">
        <w:rPr>
          <w:rFonts w:cs="Arial"/>
          <w:w w:val="105"/>
          <w:szCs w:val="24"/>
        </w:rPr>
        <w:t xml:space="preserve">La Constitution de 2001 révisée en 2016, après avoir rappelé, au préambule l’attachement « à l’idéal de l’unité africaine », prévoit en son article 96, alinéa 3, que « </w:t>
      </w:r>
      <w:r w:rsidRPr="00913D81">
        <w:rPr>
          <w:rFonts w:cs="Arial"/>
          <w:i/>
          <w:w w:val="105"/>
          <w:szCs w:val="24"/>
        </w:rPr>
        <w:t>la République du Sénégal peut conclure avec tout Etat africain des accords d’association ou de communauté comprenant abandon partiel ou total de souveraineté en vue de réaliser l’unité africaine</w:t>
      </w:r>
      <w:r w:rsidRPr="00913D81">
        <w:rPr>
          <w:rFonts w:cs="Arial"/>
          <w:w w:val="105"/>
          <w:szCs w:val="24"/>
        </w:rPr>
        <w:t xml:space="preserve"> ». A cet effet, le Gouvernement diligente la ratification de différents traités. </w:t>
      </w:r>
    </w:p>
    <w:p w14:paraId="556AE16D" w14:textId="77777777" w:rsidR="007D0115" w:rsidRPr="00913D81" w:rsidRDefault="007D0115" w:rsidP="000E368D">
      <w:pPr>
        <w:pStyle w:val="Corpsdetexte"/>
        <w:ind w:right="57"/>
        <w:rPr>
          <w:rFonts w:cs="Arial"/>
          <w:w w:val="105"/>
          <w:szCs w:val="24"/>
        </w:rPr>
      </w:pPr>
      <w:r w:rsidRPr="00913D81">
        <w:rPr>
          <w:rFonts w:cs="Arial"/>
          <w:w w:val="105"/>
          <w:szCs w:val="24"/>
        </w:rPr>
        <w:t>Au niveau national, il n’existe cependant aucun instrument juridique spécifique pour :</w:t>
      </w:r>
    </w:p>
    <w:p w14:paraId="0056E420" w14:textId="77777777" w:rsidR="007D0115" w:rsidRPr="00913D81" w:rsidRDefault="007D0115" w:rsidP="000E368D">
      <w:pPr>
        <w:pStyle w:val="Corpsdetexte"/>
        <w:widowControl w:val="0"/>
        <w:numPr>
          <w:ilvl w:val="0"/>
          <w:numId w:val="31"/>
        </w:numPr>
        <w:autoSpaceDE w:val="0"/>
        <w:autoSpaceDN w:val="0"/>
        <w:ind w:right="57"/>
        <w:rPr>
          <w:rFonts w:cs="Arial"/>
          <w:w w:val="105"/>
          <w:szCs w:val="24"/>
        </w:rPr>
      </w:pPr>
      <w:r w:rsidRPr="00913D81">
        <w:rPr>
          <w:rFonts w:cs="Arial"/>
          <w:w w:val="105"/>
          <w:szCs w:val="24"/>
        </w:rPr>
        <w:t xml:space="preserve">assurer le suivi-évaluation de la mise en œuvre des engagements en matière d’intégration. L’accent est davantage mis sur le suivi, le volet évaluation étant rarement pris en charge. Ce suivi est notamment assuré par des organes tels que </w:t>
      </w:r>
      <w:r w:rsidRPr="00913D81">
        <w:rPr>
          <w:rFonts w:cs="Arial"/>
          <w:w w:val="105"/>
          <w:szCs w:val="24"/>
        </w:rPr>
        <w:lastRenderedPageBreak/>
        <w:t>la Cellule de Suivi de l’Intégration et par le bureau national CEDEAO. De fait, on peut souligner comme contrainte majeure, l’absence d’un ordonnancement juridique pour introduire un droit matériel spécifique au suivi-évaluation des programmes d’intégration régionale ;</w:t>
      </w:r>
    </w:p>
    <w:p w14:paraId="207A44B7" w14:textId="77777777" w:rsidR="007D0115" w:rsidRPr="00913D81" w:rsidRDefault="007D0115" w:rsidP="000E368D">
      <w:pPr>
        <w:pStyle w:val="Corpsdetexte"/>
        <w:widowControl w:val="0"/>
        <w:numPr>
          <w:ilvl w:val="0"/>
          <w:numId w:val="31"/>
        </w:numPr>
        <w:autoSpaceDE w:val="0"/>
        <w:autoSpaceDN w:val="0"/>
        <w:ind w:right="57"/>
        <w:rPr>
          <w:rFonts w:cs="Arial"/>
          <w:w w:val="105"/>
          <w:szCs w:val="24"/>
        </w:rPr>
      </w:pPr>
      <w:r w:rsidRPr="00913D81">
        <w:rPr>
          <w:rFonts w:cs="Arial"/>
          <w:w w:val="105"/>
          <w:szCs w:val="24"/>
        </w:rPr>
        <w:t>procéder à une analyse d’impact des actes normatifs en préparation dans l’optique d’apprécier le plus en amont possible les effets probables de tout projet de texte normatif en cours d’élaboration.</w:t>
      </w:r>
    </w:p>
    <w:p w14:paraId="06287246" w14:textId="780F8115" w:rsidR="004A5ADB" w:rsidRDefault="007D0115" w:rsidP="000E368D">
      <w:pPr>
        <w:pStyle w:val="Corpsdetexte"/>
        <w:ind w:left="284" w:right="57"/>
        <w:rPr>
          <w:rFonts w:cs="Arial"/>
          <w:w w:val="105"/>
          <w:szCs w:val="24"/>
        </w:rPr>
      </w:pPr>
      <w:r w:rsidRPr="00913D81">
        <w:rPr>
          <w:rFonts w:cs="Arial"/>
          <w:w w:val="105"/>
          <w:szCs w:val="24"/>
        </w:rPr>
        <w:t>En revanche, récemment en 2016, la circulaire n°008/PM/SGG/SGA/PAT du 01 juin 2016 a été prise pour donner des orientations en matière de transpositio</w:t>
      </w:r>
      <w:r>
        <w:rPr>
          <w:rFonts w:cs="Arial"/>
          <w:w w:val="105"/>
          <w:szCs w:val="24"/>
        </w:rPr>
        <w:t>n des directives communautaires</w:t>
      </w:r>
      <w:r w:rsidR="004A5ADB">
        <w:rPr>
          <w:rFonts w:cs="Arial"/>
          <w:w w:val="105"/>
          <w:szCs w:val="24"/>
        </w:rPr>
        <w:t>.</w:t>
      </w:r>
    </w:p>
    <w:p w14:paraId="0778F852" w14:textId="77777777" w:rsidR="007D0115" w:rsidRPr="00913D81" w:rsidRDefault="004A5ADB" w:rsidP="000E368D">
      <w:pPr>
        <w:ind w:left="284" w:right="57"/>
        <w:rPr>
          <w:rFonts w:cs="Arial"/>
          <w:w w:val="105"/>
          <w:szCs w:val="24"/>
        </w:rPr>
      </w:pPr>
      <w:r>
        <w:rPr>
          <w:rFonts w:cs="Arial"/>
          <w:b/>
          <w:bCs/>
          <w:w w:val="105"/>
          <w:szCs w:val="24"/>
        </w:rPr>
        <w:t>Au plan institutionnel,</w:t>
      </w:r>
      <w:r>
        <w:rPr>
          <w:rFonts w:cs="Arial"/>
          <w:w w:val="105"/>
          <w:szCs w:val="24"/>
        </w:rPr>
        <w:t xml:space="preserve"> </w:t>
      </w:r>
      <w:r w:rsidR="007D0115" w:rsidRPr="00913D81">
        <w:rPr>
          <w:rFonts w:cs="Arial"/>
          <w:w w:val="105"/>
          <w:szCs w:val="24"/>
        </w:rPr>
        <w:t xml:space="preserve">l’organisation administrative pour prendre en charge l’intégration régionale repose sur une architecture faisant intervenir des ministères statutaires, d’autres ministères et des comités. D’une façon générale, l’ensemble des structures ministérielles du pays participent à l’élaboration et à la mise en œuvre des politiques d’intégration régionale dont l’objet se rapporte directement à leur sphère de compétence. Cependant, quelques ministères ont une attribution statutaire pour gérer des pans ou des portefeuilles spécifiques de l’intégration régionale. Il s’agit des ministères suivants : </w:t>
      </w:r>
    </w:p>
    <w:p w14:paraId="46DB217A" w14:textId="77777777" w:rsidR="007D0115" w:rsidRPr="00913D81" w:rsidRDefault="007D0115" w:rsidP="000E368D">
      <w:pPr>
        <w:pStyle w:val="Corpsdetexte"/>
        <w:widowControl w:val="0"/>
        <w:numPr>
          <w:ilvl w:val="0"/>
          <w:numId w:val="31"/>
        </w:numPr>
        <w:autoSpaceDE w:val="0"/>
        <w:autoSpaceDN w:val="0"/>
        <w:ind w:right="57"/>
        <w:rPr>
          <w:rFonts w:cs="Arial"/>
          <w:w w:val="105"/>
          <w:szCs w:val="24"/>
        </w:rPr>
      </w:pPr>
      <w:r w:rsidRPr="00913D81">
        <w:rPr>
          <w:rFonts w:cs="Arial"/>
          <w:w w:val="105"/>
          <w:szCs w:val="24"/>
        </w:rPr>
        <w:t>le Ministère en charge des Affaires étrangères, à travers le Décret n°2022-1786 du 26 septembre 2022 relatif aux attributions du Ministre des Affaires étrangères et des Sénégalais de l'Extérieur ; </w:t>
      </w:r>
    </w:p>
    <w:p w14:paraId="5FA02E4B" w14:textId="77777777" w:rsidR="007D0115" w:rsidRPr="00913D81" w:rsidRDefault="007D0115" w:rsidP="000E368D">
      <w:pPr>
        <w:pStyle w:val="Corpsdetexte"/>
        <w:widowControl w:val="0"/>
        <w:numPr>
          <w:ilvl w:val="0"/>
          <w:numId w:val="31"/>
        </w:numPr>
        <w:autoSpaceDE w:val="0"/>
        <w:autoSpaceDN w:val="0"/>
        <w:ind w:right="57"/>
        <w:rPr>
          <w:rFonts w:cs="Arial"/>
          <w:w w:val="105"/>
          <w:szCs w:val="24"/>
        </w:rPr>
      </w:pPr>
      <w:r w:rsidRPr="00913D81">
        <w:rPr>
          <w:rFonts w:cs="Arial"/>
          <w:w w:val="105"/>
          <w:szCs w:val="24"/>
        </w:rPr>
        <w:t>le Ministère en charge des Finances, à travers le Décret n°2022-1788 du 26 septembre 2022 relatif aux attributions du Ministre des Finances et du Budget ; </w:t>
      </w:r>
    </w:p>
    <w:p w14:paraId="1F1CDF72" w14:textId="77777777" w:rsidR="007D0115" w:rsidRPr="00913D81" w:rsidRDefault="007D0115" w:rsidP="000E368D">
      <w:pPr>
        <w:pStyle w:val="Corpsdetexte"/>
        <w:widowControl w:val="0"/>
        <w:numPr>
          <w:ilvl w:val="0"/>
          <w:numId w:val="31"/>
        </w:numPr>
        <w:autoSpaceDE w:val="0"/>
        <w:autoSpaceDN w:val="0"/>
        <w:ind w:right="57"/>
        <w:rPr>
          <w:rFonts w:cs="Arial"/>
          <w:w w:val="105"/>
          <w:szCs w:val="24"/>
        </w:rPr>
      </w:pPr>
      <w:r w:rsidRPr="00913D81">
        <w:rPr>
          <w:rFonts w:cs="Arial"/>
          <w:w w:val="105"/>
          <w:szCs w:val="24"/>
        </w:rPr>
        <w:t xml:space="preserve">le Ministère en charge de l'Economie, à travers le Décret n°2022-1791 du 26 septembre 2022 relatif aux attributions du Ministre de l'Economie, du Plan et de la Coopération ;  </w:t>
      </w:r>
    </w:p>
    <w:p w14:paraId="31B4D6FB" w14:textId="77777777" w:rsidR="007D0115" w:rsidRPr="00913D81" w:rsidRDefault="007D0115" w:rsidP="000E368D">
      <w:pPr>
        <w:pStyle w:val="Corpsdetexte"/>
        <w:widowControl w:val="0"/>
        <w:numPr>
          <w:ilvl w:val="0"/>
          <w:numId w:val="31"/>
        </w:numPr>
        <w:autoSpaceDE w:val="0"/>
        <w:autoSpaceDN w:val="0"/>
        <w:ind w:right="57"/>
        <w:rPr>
          <w:rFonts w:cs="Arial"/>
          <w:w w:val="105"/>
          <w:szCs w:val="24"/>
        </w:rPr>
      </w:pPr>
      <w:r w:rsidRPr="00913D81">
        <w:rPr>
          <w:rFonts w:cs="Arial"/>
          <w:w w:val="105"/>
          <w:szCs w:val="24"/>
        </w:rPr>
        <w:t>le Ministère en charge du Commerce, à travers le Décret n°2022-1805 du 26 septembre 2022 relatif aux attributions du Ministre du Commerce, de la Consommation et des Petites et Moyennes Entreprises, Porte-Parole du Gouvernement ;</w:t>
      </w:r>
    </w:p>
    <w:p w14:paraId="01A8285D" w14:textId="77777777" w:rsidR="007D0115" w:rsidRPr="00913D81" w:rsidRDefault="007D0115" w:rsidP="000E368D">
      <w:pPr>
        <w:pStyle w:val="Corpsdetexte"/>
        <w:widowControl w:val="0"/>
        <w:numPr>
          <w:ilvl w:val="0"/>
          <w:numId w:val="31"/>
        </w:numPr>
        <w:autoSpaceDE w:val="0"/>
        <w:autoSpaceDN w:val="0"/>
        <w:ind w:right="57"/>
        <w:rPr>
          <w:rFonts w:cs="Arial"/>
          <w:w w:val="105"/>
          <w:szCs w:val="24"/>
        </w:rPr>
      </w:pPr>
      <w:r w:rsidRPr="00913D81">
        <w:rPr>
          <w:rFonts w:cs="Arial"/>
          <w:w w:val="105"/>
          <w:szCs w:val="24"/>
        </w:rPr>
        <w:t>le Ministère de la Justice, à travers le Décret n°2022-1785 du 26 septembre 2022 relatif aux attributions du Garde des Sceaux, Ministre de la Justice.</w:t>
      </w:r>
    </w:p>
    <w:p w14:paraId="2B212EB6" w14:textId="77777777" w:rsidR="007D0115" w:rsidRPr="00913D81" w:rsidRDefault="007D0115" w:rsidP="000E368D">
      <w:pPr>
        <w:ind w:left="284" w:right="57"/>
        <w:rPr>
          <w:rFonts w:cs="Arial"/>
          <w:w w:val="105"/>
          <w:szCs w:val="24"/>
        </w:rPr>
      </w:pPr>
      <w:r w:rsidRPr="00913D81">
        <w:rPr>
          <w:rFonts w:cs="Arial"/>
          <w:w w:val="105"/>
          <w:szCs w:val="24"/>
        </w:rPr>
        <w:t xml:space="preserve">En plus de leurs attributions propres, chacun desdits ministères exerce les prérogatives qui lui sont dévolues dans le domaine de l’intégration, notamment en matière de représentation de l’Etat dans les instances compétentes des organisations et des communautés d’intégration régionale. Ainsi : </w:t>
      </w:r>
    </w:p>
    <w:p w14:paraId="3309B511" w14:textId="77777777" w:rsidR="007D0115" w:rsidRPr="00913D81" w:rsidRDefault="007D0115" w:rsidP="000E368D">
      <w:pPr>
        <w:pStyle w:val="Corpsdetexte"/>
        <w:widowControl w:val="0"/>
        <w:numPr>
          <w:ilvl w:val="0"/>
          <w:numId w:val="31"/>
        </w:numPr>
        <w:autoSpaceDE w:val="0"/>
        <w:autoSpaceDN w:val="0"/>
        <w:ind w:right="57"/>
        <w:rPr>
          <w:rFonts w:cs="Arial"/>
          <w:w w:val="105"/>
          <w:szCs w:val="24"/>
        </w:rPr>
      </w:pPr>
      <w:bookmarkStart w:id="22" w:name="_Hlk120617335"/>
      <w:r w:rsidRPr="00913D81">
        <w:rPr>
          <w:rFonts w:cs="Arial"/>
          <w:w w:val="105"/>
          <w:szCs w:val="24"/>
        </w:rPr>
        <w:t>dans le cadre de la participation du Sénégal au processus d’intégration à l’échelle continentale, dans les instances de l'Union Africaine et du NEPAD, c’est le Ministre des Affaires étrangères et des Sénégalais de l’Extérieur qui représente l’Etat</w:t>
      </w:r>
      <w:bookmarkStart w:id="23" w:name="_Hlk120617494"/>
      <w:r w:rsidRPr="00913D81">
        <w:rPr>
          <w:rFonts w:cs="Arial"/>
          <w:w w:val="105"/>
          <w:szCs w:val="24"/>
        </w:rPr>
        <w:t xml:space="preserve"> et qui associe le Ministre de l'Economie, du Plan et de la Coopération</w:t>
      </w:r>
      <w:bookmarkEnd w:id="22"/>
      <w:bookmarkEnd w:id="23"/>
      <w:r w:rsidRPr="00913D81">
        <w:rPr>
          <w:rFonts w:cs="Arial"/>
          <w:w w:val="105"/>
          <w:szCs w:val="24"/>
        </w:rPr>
        <w:t> ;</w:t>
      </w:r>
    </w:p>
    <w:p w14:paraId="16740DF4" w14:textId="77777777" w:rsidR="007D0115" w:rsidRPr="00913D81" w:rsidRDefault="007D0115" w:rsidP="000E368D">
      <w:pPr>
        <w:pStyle w:val="Corpsdetexte"/>
        <w:widowControl w:val="0"/>
        <w:numPr>
          <w:ilvl w:val="0"/>
          <w:numId w:val="31"/>
        </w:numPr>
        <w:autoSpaceDE w:val="0"/>
        <w:autoSpaceDN w:val="0"/>
        <w:ind w:right="57"/>
        <w:rPr>
          <w:rFonts w:cs="Arial"/>
          <w:w w:val="105"/>
          <w:szCs w:val="24"/>
        </w:rPr>
      </w:pPr>
      <w:r w:rsidRPr="00913D81">
        <w:rPr>
          <w:rFonts w:cs="Arial"/>
          <w:w w:val="105"/>
          <w:szCs w:val="24"/>
        </w:rPr>
        <w:t xml:space="preserve">au niveau des instances de la CEDEAO, c’est encore le Ministre des Affaires </w:t>
      </w:r>
      <w:r w:rsidRPr="00913D81">
        <w:rPr>
          <w:rFonts w:cs="Arial"/>
          <w:w w:val="105"/>
          <w:szCs w:val="24"/>
        </w:rPr>
        <w:lastRenderedPageBreak/>
        <w:t>étrangères et des Sénégalais de l’Extérieur qui représente l’Etat à côté de celui de l’Economie, du Plan et de la Coopération ;</w:t>
      </w:r>
      <w:bookmarkStart w:id="24" w:name="_Hlk120617360"/>
    </w:p>
    <w:p w14:paraId="7D481162" w14:textId="77777777" w:rsidR="007D0115" w:rsidRPr="00913D81" w:rsidRDefault="007D0115" w:rsidP="007D0115">
      <w:pPr>
        <w:pStyle w:val="Corpsdetexte"/>
        <w:widowControl w:val="0"/>
        <w:numPr>
          <w:ilvl w:val="0"/>
          <w:numId w:val="31"/>
        </w:numPr>
        <w:autoSpaceDE w:val="0"/>
        <w:autoSpaceDN w:val="0"/>
        <w:spacing w:after="60"/>
        <w:ind w:right="57"/>
        <w:rPr>
          <w:rFonts w:cs="Arial"/>
          <w:w w:val="105"/>
          <w:szCs w:val="24"/>
        </w:rPr>
      </w:pPr>
      <w:r w:rsidRPr="00913D81">
        <w:rPr>
          <w:rFonts w:cs="Arial"/>
          <w:w w:val="105"/>
          <w:szCs w:val="24"/>
        </w:rPr>
        <w:t xml:space="preserve">concernant la représentation de l'Etat dans les instances compétentes de l’UEMOA, elle est effectuée par </w:t>
      </w:r>
      <w:bookmarkStart w:id="25" w:name="_Hlk121475795"/>
      <w:r w:rsidRPr="00913D81">
        <w:rPr>
          <w:rFonts w:cs="Arial"/>
          <w:w w:val="105"/>
          <w:szCs w:val="24"/>
        </w:rPr>
        <w:t>le Ministre des Finances et du Budget</w:t>
      </w:r>
      <w:bookmarkEnd w:id="24"/>
      <w:r w:rsidRPr="00913D81">
        <w:rPr>
          <w:rFonts w:cs="Arial"/>
          <w:w w:val="105"/>
          <w:szCs w:val="24"/>
        </w:rPr>
        <w:t xml:space="preserve">, </w:t>
      </w:r>
      <w:bookmarkEnd w:id="25"/>
      <w:r w:rsidRPr="00913D81">
        <w:rPr>
          <w:rFonts w:cs="Arial"/>
          <w:w w:val="105"/>
          <w:szCs w:val="24"/>
        </w:rPr>
        <w:t>qui y associe le Ministre de l'Economie, du Plan et de la Coopération ;</w:t>
      </w:r>
    </w:p>
    <w:p w14:paraId="50CFC696" w14:textId="77777777" w:rsidR="007D0115" w:rsidRPr="00913D81" w:rsidRDefault="007D0115" w:rsidP="007D0115">
      <w:pPr>
        <w:pStyle w:val="Corpsdetexte"/>
        <w:widowControl w:val="0"/>
        <w:numPr>
          <w:ilvl w:val="0"/>
          <w:numId w:val="31"/>
        </w:numPr>
        <w:autoSpaceDE w:val="0"/>
        <w:autoSpaceDN w:val="0"/>
        <w:spacing w:after="60"/>
        <w:ind w:right="57"/>
        <w:rPr>
          <w:rFonts w:cs="Arial"/>
          <w:w w:val="105"/>
          <w:szCs w:val="24"/>
        </w:rPr>
      </w:pPr>
      <w:r w:rsidRPr="00913D81">
        <w:rPr>
          <w:rFonts w:cs="Arial"/>
          <w:w w:val="105"/>
          <w:szCs w:val="24"/>
        </w:rPr>
        <w:t>quant aux réunions internationales de l'Organisation pour l'Harmonisation en Afrique du Droit des Affaires (OHADA), c’est le Ministre de la Justice, Garde des Sceaux, qui représente l'Etat en collaboration avec le Ministre de l'Economie, du Plan et de la Coopération.</w:t>
      </w:r>
    </w:p>
    <w:p w14:paraId="4E0252F7" w14:textId="77777777" w:rsidR="007D0115" w:rsidRPr="00913D81" w:rsidRDefault="007D0115" w:rsidP="007D0115">
      <w:pPr>
        <w:spacing w:after="60"/>
        <w:ind w:left="284" w:right="57"/>
        <w:rPr>
          <w:rFonts w:cs="Arial"/>
          <w:w w:val="105"/>
          <w:szCs w:val="24"/>
        </w:rPr>
      </w:pPr>
      <w:r w:rsidRPr="00913D81">
        <w:rPr>
          <w:rFonts w:cs="Arial"/>
          <w:w w:val="105"/>
          <w:szCs w:val="24"/>
        </w:rPr>
        <w:t xml:space="preserve">Globalement, il est noté que la gouvernance de l’intégration régionale relève principalement des autorités politiques et des administrations centrales. La participation des acteurs non étatiques au processus de l’intégration régionale s’opère davantage à l’initiative des organisations d’intégration régionale que des autorités politiques du Sénégal. Or, l’absence de spécialisation fonctionnelle des organes nationaux est une caractéristique essentielle de la gouvernance de l’intégration régionale. En effet, il n’existe ni une structure administrative centrale, rattachée à un niveau politique très élevé comme la Primature, ni un comité interministériel chargé de la promotion de l’intégration régionale. </w:t>
      </w:r>
    </w:p>
    <w:p w14:paraId="4A35ABD7" w14:textId="77777777" w:rsidR="007D0115" w:rsidRPr="00913D81" w:rsidRDefault="007D0115" w:rsidP="007D0115">
      <w:pPr>
        <w:spacing w:after="60"/>
        <w:ind w:left="284" w:right="57"/>
        <w:rPr>
          <w:rFonts w:cs="Arial"/>
          <w:w w:val="105"/>
          <w:szCs w:val="24"/>
        </w:rPr>
      </w:pPr>
      <w:r w:rsidRPr="00913D81">
        <w:rPr>
          <w:rFonts w:cs="Arial"/>
          <w:w w:val="105"/>
          <w:szCs w:val="24"/>
        </w:rPr>
        <w:t>Toutefois, on relève l’existence d’un comité intervenant ponctuellement dans le cadre de la préparation des sessions périodiques du Conseil des Ministres de l’UEMOA. Il s’agit du comité des mandats institué par le Décret n° 95-674 du 17 juillet 1995 relatif à la définition de la position sénégalaise dans les instances de l’UEMOA. Il est composé d’agents des ministères concernés par les questions inscrites à l’ordre du jour des instances compétentes de l’UEMOA ainsi que du Conseiller juridique du Président de la République et des représentants du Premier Ministre, du Secrétariat général du Gouvernement, de la Cour Suprême et du Directeur national de la BCEAO. Dans la pratique, d’autres institutions sont associées aux travaux du Comité des Mandats. C’est le cas de l’Assemblée nationale, du Conseil Economique Social et Environnemental et de la Cour des comptes.</w:t>
      </w:r>
    </w:p>
    <w:p w14:paraId="080E3658" w14:textId="77777777" w:rsidR="007D0115" w:rsidRPr="00913D81" w:rsidRDefault="007D0115" w:rsidP="007D0115">
      <w:pPr>
        <w:spacing w:after="60"/>
        <w:ind w:left="284" w:right="57"/>
        <w:rPr>
          <w:rFonts w:cs="Arial"/>
          <w:w w:val="105"/>
          <w:szCs w:val="24"/>
        </w:rPr>
      </w:pPr>
      <w:r w:rsidRPr="00913D81">
        <w:rPr>
          <w:rFonts w:cs="Arial"/>
          <w:w w:val="105"/>
          <w:szCs w:val="24"/>
        </w:rPr>
        <w:t>S’agissant des entités dédiées à la coordination et au suivi des questions d’intégration, on peut citer :</w:t>
      </w:r>
    </w:p>
    <w:p w14:paraId="24477C47" w14:textId="77777777" w:rsidR="007D0115" w:rsidRPr="00913D81" w:rsidRDefault="007D0115" w:rsidP="007D0115">
      <w:pPr>
        <w:pStyle w:val="Corpsdetexte"/>
        <w:widowControl w:val="0"/>
        <w:numPr>
          <w:ilvl w:val="0"/>
          <w:numId w:val="31"/>
        </w:numPr>
        <w:autoSpaceDE w:val="0"/>
        <w:autoSpaceDN w:val="0"/>
        <w:spacing w:after="60"/>
        <w:ind w:right="57"/>
        <w:rPr>
          <w:rFonts w:cs="Arial"/>
          <w:w w:val="105"/>
          <w:szCs w:val="24"/>
        </w:rPr>
      </w:pPr>
      <w:r w:rsidRPr="00913D81">
        <w:rPr>
          <w:rFonts w:cs="Arial"/>
          <w:w w:val="105"/>
          <w:szCs w:val="24"/>
        </w:rPr>
        <w:t>la Cellule de Suivi de l’Intégration (CSI) qui est une structure administrative pérenne ayant une grande expérience dans le suivi et la coordination des différentes questions d’intégration régionale. Cependant, en raison de son ancrage institutionnel comme structure du Ministère de l’Economie, du Plan et de la Coopération, elle se limite au volet économique de l’intégration régionale ;</w:t>
      </w:r>
    </w:p>
    <w:p w14:paraId="65776D02" w14:textId="77777777" w:rsidR="007D0115" w:rsidRPr="00913D81" w:rsidRDefault="007D0115" w:rsidP="007D0115">
      <w:pPr>
        <w:pStyle w:val="Corpsdetexte"/>
        <w:widowControl w:val="0"/>
        <w:numPr>
          <w:ilvl w:val="0"/>
          <w:numId w:val="31"/>
        </w:numPr>
        <w:autoSpaceDE w:val="0"/>
        <w:autoSpaceDN w:val="0"/>
        <w:spacing w:after="60"/>
        <w:ind w:right="57"/>
        <w:rPr>
          <w:rFonts w:cs="Arial"/>
          <w:w w:val="105"/>
          <w:szCs w:val="24"/>
        </w:rPr>
      </w:pPr>
      <w:r w:rsidRPr="00913D81">
        <w:rPr>
          <w:rFonts w:cs="Arial"/>
          <w:w w:val="105"/>
          <w:szCs w:val="24"/>
        </w:rPr>
        <w:t>le Bureau national de la CEDEAO et la Direction de l’Union africaine qui sont mis en place au sein du Ministère en charge des Affaires étrangères, l’un à des fins de représentation nationale de la CEDEAO, l’autre pour s’occuper des aspects politiques et diplomatiques de l’intégration de l’Union africaine.</w:t>
      </w:r>
    </w:p>
    <w:p w14:paraId="319DCEED" w14:textId="77777777" w:rsidR="007D0115" w:rsidRPr="00913D81" w:rsidRDefault="007D0115" w:rsidP="007D0115">
      <w:pPr>
        <w:spacing w:after="60"/>
        <w:ind w:left="284" w:right="57"/>
        <w:rPr>
          <w:rFonts w:cs="Arial"/>
          <w:w w:val="105"/>
          <w:szCs w:val="24"/>
        </w:rPr>
      </w:pPr>
      <w:r w:rsidRPr="00913D81">
        <w:rPr>
          <w:rFonts w:cs="Arial"/>
          <w:w w:val="105"/>
          <w:szCs w:val="24"/>
        </w:rPr>
        <w:t xml:space="preserve">En dehors du Ministère en charge de l’Economie et du Ministère en charge des Affaires étrangères, les autres ministères statutaires ne disposent pas de service administratif dédié aux questions d’intégration. Il s’agit du Ministère en charge des Finances qui est concerné par l’intégration de l’UEMOA, du Ministère en charge du Commerce qui pilote </w:t>
      </w:r>
      <w:r w:rsidRPr="00913D81">
        <w:rPr>
          <w:rFonts w:cs="Arial"/>
          <w:w w:val="105"/>
          <w:szCs w:val="24"/>
        </w:rPr>
        <w:lastRenderedPageBreak/>
        <w:t xml:space="preserve">les négociations commerciales internationales et régionales et du Ministère de la Justice qui intervient au niveau des dossiers de l’OHADA. </w:t>
      </w:r>
    </w:p>
    <w:p w14:paraId="0E1834D7" w14:textId="77777777" w:rsidR="007D0115" w:rsidRPr="00913D81" w:rsidRDefault="007D0115" w:rsidP="007D0115">
      <w:pPr>
        <w:spacing w:after="60"/>
        <w:ind w:left="284" w:right="57"/>
        <w:rPr>
          <w:rFonts w:cs="Arial"/>
          <w:w w:val="105"/>
          <w:szCs w:val="24"/>
        </w:rPr>
      </w:pPr>
      <w:r w:rsidRPr="00913D81">
        <w:rPr>
          <w:rFonts w:cs="Arial"/>
          <w:w w:val="105"/>
          <w:szCs w:val="24"/>
        </w:rPr>
        <w:t>A côté des entités dédiées à la coordination et au suivi des questions d’intégration régionale, il existe quelques comités ministériels spécialisés dans le traitement de questions spécifiques se rapportant à l’intégration régionale. A ce niveau, on peut notamment citer :</w:t>
      </w:r>
    </w:p>
    <w:p w14:paraId="51AFCE4F" w14:textId="77777777" w:rsidR="007D0115" w:rsidRPr="00913D81" w:rsidRDefault="007D0115" w:rsidP="007D0115">
      <w:pPr>
        <w:pStyle w:val="Corpsdetexte"/>
        <w:widowControl w:val="0"/>
        <w:numPr>
          <w:ilvl w:val="0"/>
          <w:numId w:val="31"/>
        </w:numPr>
        <w:autoSpaceDE w:val="0"/>
        <w:autoSpaceDN w:val="0"/>
        <w:spacing w:after="60"/>
        <w:ind w:right="57"/>
        <w:rPr>
          <w:rFonts w:cs="Arial"/>
          <w:w w:val="105"/>
          <w:szCs w:val="24"/>
        </w:rPr>
      </w:pPr>
      <w:r w:rsidRPr="00913D81">
        <w:rPr>
          <w:rFonts w:cs="Arial"/>
          <w:w w:val="105"/>
          <w:szCs w:val="24"/>
        </w:rPr>
        <w:t xml:space="preserve">le Comité national pour la CEAO, la CEDEAO, la Convention CEE/ACP, le GATT et le CNUCED qui est institué par décret n°78-883 du 25 septembre 1978 portant création du Comité national chargé de suivre les questions relatives à la Communauté économique de l’Afrique de l’Ouest (CEAO), à la Communauté économique des Etats de l’Afrique de l’Ouest (CEDEAO), à la Convention CEE/ACP, à l’accord général sur les tarifs douaniers et le commerce (GATT) et à la Conférence des Nations unies sur le Commerce et le Développement (CNUCED). Non fonctionnel depuis longtemps, il est peu célèbre ; </w:t>
      </w:r>
    </w:p>
    <w:p w14:paraId="608A7AFF" w14:textId="77777777" w:rsidR="007D0115" w:rsidRPr="00913D81" w:rsidRDefault="007D0115" w:rsidP="007D0115">
      <w:pPr>
        <w:pStyle w:val="Corpsdetexte"/>
        <w:widowControl w:val="0"/>
        <w:numPr>
          <w:ilvl w:val="0"/>
          <w:numId w:val="31"/>
        </w:numPr>
        <w:autoSpaceDE w:val="0"/>
        <w:autoSpaceDN w:val="0"/>
        <w:spacing w:after="60"/>
        <w:ind w:right="57"/>
        <w:rPr>
          <w:rFonts w:cs="Arial"/>
          <w:w w:val="105"/>
          <w:szCs w:val="24"/>
        </w:rPr>
      </w:pPr>
      <w:r w:rsidRPr="00913D81">
        <w:rPr>
          <w:rFonts w:cs="Arial"/>
          <w:w w:val="105"/>
          <w:szCs w:val="24"/>
        </w:rPr>
        <w:t>le Comité national de gestion du Tarif Extérieur Commun mis en place dans le cadre de la Décision A/DEC.14/01/06 portant création, organisation et fonctionnement du Comité Conjoint CEDEAO-UEMOA de Gestion du Tarif Extérieur Commun (TEC) de la CEDEAO. Il traite de toutes les questions afférentes au TEC de la CEDEAO et de l’UEMOA ;</w:t>
      </w:r>
    </w:p>
    <w:p w14:paraId="3B9D81B9" w14:textId="77777777" w:rsidR="007D0115" w:rsidRPr="00913D81" w:rsidRDefault="007D0115" w:rsidP="007D0115">
      <w:pPr>
        <w:pStyle w:val="Corpsdetexte"/>
        <w:widowControl w:val="0"/>
        <w:numPr>
          <w:ilvl w:val="0"/>
          <w:numId w:val="31"/>
        </w:numPr>
        <w:autoSpaceDE w:val="0"/>
        <w:autoSpaceDN w:val="0"/>
        <w:spacing w:after="60"/>
        <w:ind w:right="57"/>
        <w:rPr>
          <w:rFonts w:cs="Arial"/>
          <w:w w:val="105"/>
          <w:szCs w:val="24"/>
        </w:rPr>
      </w:pPr>
      <w:r w:rsidRPr="00913D81">
        <w:rPr>
          <w:rFonts w:cs="Arial"/>
          <w:w w:val="105"/>
          <w:szCs w:val="24"/>
        </w:rPr>
        <w:t>le Comité national d’agrément, présidé par la Direction du redéploiement industriel, instruit les dossiers de demande d’agrément à la TPC (Taxe préférentielle communautaire) de l’UEMOA ainsi que les dossiers de demande d’agrément au bénéfice des avantages du SLE (Schéma de Libéralisation des échanges) de la CEDEAO ;</w:t>
      </w:r>
    </w:p>
    <w:p w14:paraId="24865E11" w14:textId="77777777" w:rsidR="007D0115" w:rsidRPr="00913D81" w:rsidRDefault="007D0115" w:rsidP="007D0115">
      <w:pPr>
        <w:pStyle w:val="Corpsdetexte"/>
        <w:widowControl w:val="0"/>
        <w:numPr>
          <w:ilvl w:val="0"/>
          <w:numId w:val="31"/>
        </w:numPr>
        <w:autoSpaceDE w:val="0"/>
        <w:autoSpaceDN w:val="0"/>
        <w:spacing w:after="60"/>
        <w:ind w:right="57"/>
        <w:rPr>
          <w:rFonts w:cs="Arial"/>
          <w:w w:val="105"/>
          <w:szCs w:val="24"/>
        </w:rPr>
      </w:pPr>
      <w:r w:rsidRPr="00913D81">
        <w:rPr>
          <w:rFonts w:cs="Arial"/>
          <w:w w:val="105"/>
          <w:szCs w:val="24"/>
        </w:rPr>
        <w:t>le Comité national de Politique économique (CNPE) qui est créé par Décret n° 2009-1430 du 24 décembre 2009 portant création du Comité National de Coordination de Politique Economique de la CEDEAO (CNC-CNPE). Cette structure traite notamment des questions relevant de la surveillance multilatérale de la CEDEAO et de l’UEMOA ;</w:t>
      </w:r>
    </w:p>
    <w:p w14:paraId="51D36D12" w14:textId="77777777" w:rsidR="007D0115" w:rsidRPr="00913D81" w:rsidRDefault="007D0115" w:rsidP="007D0115">
      <w:pPr>
        <w:pStyle w:val="Corpsdetexte"/>
        <w:widowControl w:val="0"/>
        <w:numPr>
          <w:ilvl w:val="0"/>
          <w:numId w:val="31"/>
        </w:numPr>
        <w:autoSpaceDE w:val="0"/>
        <w:autoSpaceDN w:val="0"/>
        <w:spacing w:after="60"/>
        <w:ind w:right="57"/>
        <w:rPr>
          <w:rFonts w:cs="Arial"/>
          <w:w w:val="105"/>
          <w:szCs w:val="24"/>
        </w:rPr>
      </w:pPr>
      <w:r w:rsidRPr="00913D81">
        <w:rPr>
          <w:rFonts w:cs="Arial"/>
          <w:w w:val="105"/>
          <w:szCs w:val="24"/>
        </w:rPr>
        <w:t>le Comité national de Suivi du Programme Economique Régional de l’UEMOA (CNS-PER) qui est créé par arrêté du Ministre de l’Economie et des Finances n°3041/MEF du 22 mars 2011. Il assure le suivi de la mise en œuvre des projets nationaux inscrits au PER de l’UEMOA ; </w:t>
      </w:r>
    </w:p>
    <w:p w14:paraId="370C1C8A" w14:textId="77777777" w:rsidR="007D0115" w:rsidRPr="00913D81" w:rsidRDefault="007D0115" w:rsidP="007D0115">
      <w:pPr>
        <w:pStyle w:val="Corpsdetexte"/>
        <w:widowControl w:val="0"/>
        <w:numPr>
          <w:ilvl w:val="0"/>
          <w:numId w:val="31"/>
        </w:numPr>
        <w:autoSpaceDE w:val="0"/>
        <w:autoSpaceDN w:val="0"/>
        <w:spacing w:after="60"/>
        <w:ind w:right="57"/>
        <w:rPr>
          <w:rFonts w:cs="Arial"/>
          <w:w w:val="105"/>
          <w:szCs w:val="24"/>
        </w:rPr>
      </w:pPr>
      <w:r w:rsidRPr="00913D81">
        <w:rPr>
          <w:rFonts w:cs="Arial"/>
          <w:w w:val="105"/>
          <w:szCs w:val="24"/>
        </w:rPr>
        <w:t>le Comité national de Suivi de la Transition fiscale crée par Arrêté n°2647 du 14 aout 2014. Comme son nom l’indique, il traite des questions se rapportant à la réforme de transition fiscale.</w:t>
      </w:r>
    </w:p>
    <w:p w14:paraId="66AF9B2B" w14:textId="77777777" w:rsidR="007D0115" w:rsidRPr="00913D81" w:rsidRDefault="007D0115" w:rsidP="007D0115">
      <w:pPr>
        <w:spacing w:after="60"/>
        <w:ind w:left="284" w:right="57"/>
        <w:rPr>
          <w:rFonts w:cs="Arial"/>
          <w:w w:val="105"/>
          <w:szCs w:val="24"/>
        </w:rPr>
      </w:pPr>
      <w:bookmarkStart w:id="26" w:name="_Hlk121482645"/>
      <w:r w:rsidRPr="00913D81">
        <w:rPr>
          <w:rFonts w:cs="Arial"/>
          <w:w w:val="105"/>
          <w:szCs w:val="24"/>
        </w:rPr>
        <w:t xml:space="preserve">La coordination </w:t>
      </w:r>
      <w:bookmarkEnd w:id="26"/>
      <w:r w:rsidRPr="00913D81">
        <w:rPr>
          <w:rFonts w:cs="Arial"/>
          <w:w w:val="105"/>
          <w:szCs w:val="24"/>
        </w:rPr>
        <w:t>entre les différents ministères impliqués dans le processus d’intégration régionale n’a pas fait l’objet d’un encadrement juridique et elle n’est pas assurée par une structure administrative interministérielle permanente ou ad hoc. Or, une prise en charge sectorielle sans coordination et sans mise en cohérence pose problème.</w:t>
      </w:r>
    </w:p>
    <w:p w14:paraId="681CE87D" w14:textId="6AA0A244" w:rsidR="004A5ADB" w:rsidRDefault="007D0115" w:rsidP="007D0115">
      <w:pPr>
        <w:spacing w:after="60"/>
        <w:ind w:left="284" w:right="57"/>
        <w:rPr>
          <w:rFonts w:cs="Arial"/>
          <w:w w:val="105"/>
          <w:szCs w:val="24"/>
        </w:rPr>
      </w:pPr>
      <w:r w:rsidRPr="00913D81">
        <w:rPr>
          <w:rFonts w:cs="Arial"/>
          <w:w w:val="105"/>
          <w:szCs w:val="24"/>
        </w:rPr>
        <w:t>Ce faisant, la collaboration entre les différents ministères statutaires sur l’intégration régionale ne se situe pas à un niveau très optimal et la détermination des positions de l’Etat du Sénégal ne s’opère pas à travers un cadre de concertation enca</w:t>
      </w:r>
      <w:r>
        <w:rPr>
          <w:rFonts w:cs="Arial"/>
          <w:w w:val="105"/>
          <w:szCs w:val="24"/>
        </w:rPr>
        <w:t>dré par des mesures juridiques</w:t>
      </w:r>
      <w:r w:rsidR="004A5ADB">
        <w:rPr>
          <w:rFonts w:cs="Arial"/>
          <w:w w:val="105"/>
          <w:szCs w:val="24"/>
        </w:rPr>
        <w:t xml:space="preserve">. </w:t>
      </w:r>
    </w:p>
    <w:p w14:paraId="380FEC76" w14:textId="2304F7C9" w:rsidR="004A5ADB" w:rsidRPr="00EC5C73" w:rsidRDefault="00EC5C73" w:rsidP="00901D8C">
      <w:pPr>
        <w:pStyle w:val="Titre4"/>
      </w:pPr>
      <w:bookmarkStart w:id="27" w:name="_Toc134287593"/>
      <w:bookmarkStart w:id="28" w:name="_Toc135140173"/>
      <w:r w:rsidRPr="00EC5C73">
        <w:lastRenderedPageBreak/>
        <w:t xml:space="preserve">III.1.2. </w:t>
      </w:r>
      <w:r w:rsidR="004A5ADB" w:rsidRPr="00EC5C73">
        <w:t>Gouvernance économique et sociale</w:t>
      </w:r>
      <w:bookmarkEnd w:id="27"/>
      <w:bookmarkEnd w:id="28"/>
    </w:p>
    <w:p w14:paraId="24E31C06" w14:textId="77777777" w:rsidR="005D7A52" w:rsidRPr="00913D81" w:rsidRDefault="005D7A52" w:rsidP="00A25197">
      <w:pPr>
        <w:ind w:right="57"/>
        <w:rPr>
          <w:rFonts w:cs="Arial"/>
          <w:strike/>
          <w:color w:val="FF0000"/>
          <w:w w:val="105"/>
          <w:szCs w:val="24"/>
        </w:rPr>
      </w:pPr>
      <w:r w:rsidRPr="00913D81">
        <w:rPr>
          <w:rFonts w:cs="Arial"/>
          <w:w w:val="105"/>
          <w:szCs w:val="24"/>
        </w:rPr>
        <w:t xml:space="preserve">L’état général de la gouvernance économique et sociale du Sénégal peut être capté par l’entremise de l’Indice Ibrahim de la Gouvernance en Afrique (IIAG). L’analyse montre que le Sénégal, avec un score de 62.4 (sur 100.0), se classe à la 9e place (sur 54) en matière de Gouvernance globale en 2021. </w:t>
      </w:r>
    </w:p>
    <w:p w14:paraId="37B6E1D4" w14:textId="77777777" w:rsidR="005D7A52" w:rsidRPr="00913D81" w:rsidRDefault="005D7A52" w:rsidP="00A25197">
      <w:pPr>
        <w:ind w:right="57"/>
        <w:rPr>
          <w:rFonts w:cs="Arial"/>
          <w:w w:val="105"/>
          <w:szCs w:val="24"/>
        </w:rPr>
      </w:pPr>
      <w:r w:rsidRPr="00913D81">
        <w:rPr>
          <w:rFonts w:cs="Arial"/>
          <w:w w:val="105"/>
          <w:szCs w:val="24"/>
        </w:rPr>
        <w:t xml:space="preserve">En effet, il est noté qu’en tendance sur la période décennale, les principaux facteurs d’évolution favorable de la gouvernance sont la santé (+9.1), les infrastructures (+8.7) et l’environnement des affaires et du travail (+6.0). En revanche, les maillons faibles du dynamisme de l’indice où des efforts importants restent à faire particulièrement sont la participation citoyenne (-5.4), l’économie rurale (-4.4) et la redevabilité et la transparence (-4.2). </w:t>
      </w:r>
    </w:p>
    <w:p w14:paraId="7E025F13" w14:textId="77777777" w:rsidR="005D7A52" w:rsidRPr="00913D81" w:rsidRDefault="005D7A52" w:rsidP="00A25197">
      <w:pPr>
        <w:ind w:right="57"/>
        <w:rPr>
          <w:rFonts w:cs="Arial"/>
          <w:w w:val="105"/>
          <w:szCs w:val="24"/>
        </w:rPr>
      </w:pPr>
      <w:r w:rsidRPr="00913D81">
        <w:rPr>
          <w:rFonts w:cs="Arial"/>
          <w:w w:val="105"/>
          <w:szCs w:val="24"/>
        </w:rPr>
        <w:t>Ces performances sont le résultat d’une combinaison de réformes importantes effectuées dans plusieurs secteurs pour améliorer la situation. On peut notamment citer les réformes adoptées dans les domaines de l’environnement des affaires, du développement du secteur privé, de la lutte contre les pratiques anticoncurrentielles, de la territorialisation des politiques publiques et de l’appropriation des politiques et programmes d’intégration régionale.</w:t>
      </w:r>
    </w:p>
    <w:p w14:paraId="3C064CAC" w14:textId="77777777" w:rsidR="005D7A52" w:rsidRPr="00913D81" w:rsidRDefault="005D7A52" w:rsidP="00A25197">
      <w:pPr>
        <w:pStyle w:val="Corpsdetexte"/>
        <w:widowControl w:val="0"/>
        <w:numPr>
          <w:ilvl w:val="0"/>
          <w:numId w:val="31"/>
        </w:numPr>
        <w:autoSpaceDE w:val="0"/>
        <w:autoSpaceDN w:val="0"/>
        <w:ind w:right="57"/>
        <w:rPr>
          <w:rFonts w:cs="Arial"/>
          <w:w w:val="105"/>
          <w:szCs w:val="24"/>
        </w:rPr>
      </w:pPr>
      <w:r w:rsidRPr="00913D81">
        <w:rPr>
          <w:rFonts w:cs="Arial"/>
          <w:w w:val="105"/>
          <w:szCs w:val="24"/>
        </w:rPr>
        <w:t xml:space="preserve">Dans le domaine de l’environnement des affaires, de nombreuses réformes ont été effectuées. Elles concernent en particulier la révision du code des investissements, du code minier, du code général des impôts, du code des douanes et du code des marchés publics. </w:t>
      </w:r>
    </w:p>
    <w:p w14:paraId="58B82432" w14:textId="77777777" w:rsidR="005D7A52" w:rsidRPr="00913D81" w:rsidRDefault="005D7A52" w:rsidP="00A25197">
      <w:pPr>
        <w:pStyle w:val="Corpsdetexte"/>
        <w:widowControl w:val="0"/>
        <w:numPr>
          <w:ilvl w:val="0"/>
          <w:numId w:val="31"/>
        </w:numPr>
        <w:autoSpaceDE w:val="0"/>
        <w:autoSpaceDN w:val="0"/>
        <w:ind w:right="57"/>
        <w:rPr>
          <w:rFonts w:cs="Arial"/>
          <w:w w:val="105"/>
          <w:szCs w:val="24"/>
        </w:rPr>
      </w:pPr>
      <w:r w:rsidRPr="00913D81">
        <w:rPr>
          <w:rFonts w:cs="Arial"/>
          <w:w w:val="105"/>
          <w:szCs w:val="24"/>
        </w:rPr>
        <w:t>En matière d’investissements, le code de 2004 a été révisé en 2021. Cette réforme, inscrite dans les actions phares du Plan d’actions prioritaires ajusté (PAP2A), entre dans le cadre de la stratégie de relance de l’économie nationale visant à atteindre les objectifs du Plan Sénégal Emergent (PSE) à l’horizon 2023. Le nouveau code a pour ambition de mettre fin à la complexité fiscale grâce à une simplification des formalités administratives d’exonérations fiscales et douanières à travers le projet de maturation digitale des administrations. Il entend de ce fait mettre en place un cadre propice aux investissements privés et incitatif pour la production et l’emploi.</w:t>
      </w:r>
    </w:p>
    <w:p w14:paraId="2B517778" w14:textId="77777777" w:rsidR="005D7A52" w:rsidRPr="00913D81" w:rsidRDefault="005D7A52" w:rsidP="00A25197">
      <w:pPr>
        <w:pStyle w:val="Corpsdetexte"/>
        <w:widowControl w:val="0"/>
        <w:numPr>
          <w:ilvl w:val="0"/>
          <w:numId w:val="31"/>
        </w:numPr>
        <w:autoSpaceDE w:val="0"/>
        <w:autoSpaceDN w:val="0"/>
        <w:ind w:right="57"/>
        <w:rPr>
          <w:rFonts w:cs="Arial"/>
          <w:w w:val="105"/>
          <w:szCs w:val="24"/>
        </w:rPr>
      </w:pPr>
      <w:r w:rsidRPr="00913D81">
        <w:rPr>
          <w:rFonts w:cs="Arial"/>
          <w:w w:val="105"/>
          <w:szCs w:val="24"/>
        </w:rPr>
        <w:t>En matière de mines, le code minier de 2003 a été abrogé et remplacé par la Loi n°2016-32 du 8 novembre 2016 portant code minier. Cette dernière a été complétée par le Décret n°2017-459 fixant les modalités d’application de la loi n°2016-32 du 8 novembre 2016 portant code des mines. Le nouveau code permet de procéder à un meilleur rééquilibrage de la gouvernance des ressources minérales du Sénégal. L’objectif est de maintenir l’attractivité du secteur minier national et de garantir un certain équilibre, de manière à promouvoir un partenariat mutuellement avantageux entre l’Etat, l’investisseur et les communautés hôtes. Il opère aussi une restriction du champ étendu des exonérations du code de 2003 qui n’avait pas favorisé une répartition équitable des revenus entre l’investisseur et l’Etat.</w:t>
      </w:r>
    </w:p>
    <w:p w14:paraId="6F61003F" w14:textId="77777777" w:rsidR="005D7A52" w:rsidRPr="00913D81" w:rsidRDefault="005D7A52" w:rsidP="00A25197">
      <w:pPr>
        <w:pStyle w:val="Corpsdetexte"/>
        <w:widowControl w:val="0"/>
        <w:numPr>
          <w:ilvl w:val="0"/>
          <w:numId w:val="31"/>
        </w:numPr>
        <w:autoSpaceDE w:val="0"/>
        <w:autoSpaceDN w:val="0"/>
        <w:ind w:right="57"/>
        <w:rPr>
          <w:rFonts w:cs="Arial"/>
          <w:w w:val="105"/>
          <w:szCs w:val="24"/>
        </w:rPr>
      </w:pPr>
      <w:r w:rsidRPr="00913D81">
        <w:rPr>
          <w:rFonts w:cs="Arial"/>
          <w:w w:val="105"/>
          <w:szCs w:val="24"/>
        </w:rPr>
        <w:t xml:space="preserve">En matière d’impôts, le nouveau Code Général des Impôts du Sénégal a été adopté par la Loi n°2012-31 du 31 décembre 2012 pour remplacer le code de </w:t>
      </w:r>
      <w:r w:rsidRPr="00913D81">
        <w:rPr>
          <w:rFonts w:cs="Arial"/>
          <w:w w:val="105"/>
          <w:szCs w:val="24"/>
        </w:rPr>
        <w:lastRenderedPageBreak/>
        <w:t xml:space="preserve">1992. Il vise en particulier à mettre fin au phénomène de complexité fiscale apparu avec les nombreuses révisions. Quatre finalités étaient recherchées à travers cette réforme : i) améliorer la qualité du dispositif fiscal, ii) accroître le rendement budgétaire de l’impôt par l’élargissement de l’assiette, iii) promouvoir une meilleure justice fiscale et le consentement à l’impôt et iv) mettre en place un droit fiscal commun incitatif pour promouvoir la croissance économique et l’environnement des affaires. </w:t>
      </w:r>
    </w:p>
    <w:p w14:paraId="77535FED" w14:textId="77777777" w:rsidR="005D7A52" w:rsidRPr="00913D81" w:rsidRDefault="005D7A52" w:rsidP="00A25197">
      <w:pPr>
        <w:pStyle w:val="Corpsdetexte"/>
        <w:widowControl w:val="0"/>
        <w:numPr>
          <w:ilvl w:val="0"/>
          <w:numId w:val="31"/>
        </w:numPr>
        <w:autoSpaceDE w:val="0"/>
        <w:autoSpaceDN w:val="0"/>
        <w:ind w:right="57"/>
        <w:rPr>
          <w:rFonts w:cs="Arial"/>
          <w:w w:val="105"/>
          <w:szCs w:val="24"/>
        </w:rPr>
      </w:pPr>
      <w:r w:rsidRPr="00913D81">
        <w:rPr>
          <w:rFonts w:cs="Arial"/>
          <w:w w:val="105"/>
          <w:szCs w:val="24"/>
        </w:rPr>
        <w:t>En matière de douanes, le nouveau dispositif adopté dans le cadre de la Loi 2014-10 du 28 février 2014 portant Code des douanes du Sénégal vise à intégrer les profonds changements intervenus dans l’environnement des activités économiques et du commerce international pour aboutir à un code qui soit en phase avec les lois nationales, communautaires et internationales.</w:t>
      </w:r>
    </w:p>
    <w:p w14:paraId="54940ECB" w14:textId="77777777" w:rsidR="005D7A52" w:rsidRPr="00913D81" w:rsidRDefault="005D7A52" w:rsidP="00A25197">
      <w:pPr>
        <w:pStyle w:val="Corpsdetexte"/>
        <w:widowControl w:val="0"/>
        <w:numPr>
          <w:ilvl w:val="0"/>
          <w:numId w:val="31"/>
        </w:numPr>
        <w:autoSpaceDE w:val="0"/>
        <w:autoSpaceDN w:val="0"/>
        <w:ind w:right="57"/>
        <w:rPr>
          <w:rFonts w:cs="Arial"/>
          <w:w w:val="105"/>
          <w:szCs w:val="24"/>
        </w:rPr>
      </w:pPr>
      <w:r w:rsidRPr="00913D81">
        <w:rPr>
          <w:rFonts w:cs="Arial"/>
          <w:w w:val="105"/>
          <w:szCs w:val="24"/>
        </w:rPr>
        <w:t>En matière de marchés publics, un nouveau code des marchés publics a été adopté en 2022 par Décret n° 2022-2295 du 28 décembre 2022 portant Code des marchés publics en révision de celui de 2014. Les innovations majeures ont porté sur i) un meilleur encadrement du champ d'application du code des marchés publics, ii) le renforcement du régime juridique de l'accord-cadre, iii) l'intégration des impératifs afférents au budget-programme, iv) la prise en compte des objectifs du développement durable dans ses dimensions sociales, environnementales et économiques, v) la précision du caractère franc des délais de recours et vi) le nécessaire allotissement des marchés publics dans l'optique de favoriser la participation des Petites et Moyennes Entreprises (PME). Elles permettent de prendre en compte la loi n° 2020-01 du 06 janvier 2020 relative à la création et à la promotion de la startup au Sénégal ainsi que la loi d'orientation n°2020-02 du 07 janvier 2020 sur les Petites et Moyennes Entreprises (PME).</w:t>
      </w:r>
    </w:p>
    <w:p w14:paraId="4F0859C9" w14:textId="77777777" w:rsidR="005D7A52" w:rsidRPr="00913D81" w:rsidRDefault="005D7A52" w:rsidP="00A25197">
      <w:pPr>
        <w:pStyle w:val="Corpsdetexte"/>
        <w:widowControl w:val="0"/>
        <w:numPr>
          <w:ilvl w:val="0"/>
          <w:numId w:val="31"/>
        </w:numPr>
        <w:autoSpaceDE w:val="0"/>
        <w:autoSpaceDN w:val="0"/>
        <w:ind w:right="57"/>
        <w:rPr>
          <w:rFonts w:cs="Arial"/>
          <w:w w:val="105"/>
          <w:szCs w:val="24"/>
        </w:rPr>
      </w:pPr>
      <w:r w:rsidRPr="00913D81">
        <w:rPr>
          <w:rFonts w:cs="Arial"/>
          <w:w w:val="105"/>
          <w:szCs w:val="24"/>
        </w:rPr>
        <w:t xml:space="preserve">Dans le domaine du développement du secteur privé, la Stratégie Nationale de Développement du Secteur Privé en cours de finalisation et d’adoption est conçue pour servir de cadre de référence aux interventions dudit secteur qui permettent d’assurer son implication effective dans la mise en œuvre efficace et efficiente des projets du PAP2A. Elle sera matérialisée par une loi d’orientation de politique de développement du secteur privé. Cette stratégie vise à créer une accélération massive de l’investissement privé à travers un programme ambitieux de projets stratégiques, matures, banquables et développés grâce à un programme de préparation des projets. </w:t>
      </w:r>
    </w:p>
    <w:p w14:paraId="0E695E45" w14:textId="77777777" w:rsidR="005D7A52" w:rsidRPr="00913D81" w:rsidRDefault="005D7A52" w:rsidP="00A25197">
      <w:pPr>
        <w:pStyle w:val="Corpsdetexte"/>
        <w:widowControl w:val="0"/>
        <w:numPr>
          <w:ilvl w:val="0"/>
          <w:numId w:val="31"/>
        </w:numPr>
        <w:autoSpaceDE w:val="0"/>
        <w:autoSpaceDN w:val="0"/>
        <w:ind w:right="57"/>
        <w:rPr>
          <w:rFonts w:cs="Arial"/>
          <w:w w:val="105"/>
          <w:szCs w:val="24"/>
        </w:rPr>
      </w:pPr>
      <w:r w:rsidRPr="00913D81">
        <w:rPr>
          <w:rFonts w:cs="Arial"/>
          <w:w w:val="105"/>
          <w:szCs w:val="24"/>
        </w:rPr>
        <w:t xml:space="preserve">Dans le domaine de la lutte contre les pratiques anticoncurrentielles, depuis la fin des années 80, le Sénégal a fait le choix de l’ouverture à la concurrence. Ainsi en atteste la Loi n° 94-63 du 22 août 1994 sur les prix, la concurrence et le contentieux économique qui vise à définir les dispositions régissant le libre jeu de la concurrence, la liberté des prix et les obligations mises à la charge des producteurs, commerçants, prestataires de services et à prévenir les pratiques anticoncurrentielles. Une autorité de la concurrence est mise en place pour appliquer la loi sur la concurrence, surveiller les pratiques anticoncurrentielles et promouvoir la concurrence dans l'économie. Elle est aussi chargée de renforcer les </w:t>
      </w:r>
      <w:r w:rsidRPr="00913D81">
        <w:rPr>
          <w:rFonts w:cs="Arial"/>
          <w:w w:val="105"/>
          <w:szCs w:val="24"/>
        </w:rPr>
        <w:lastRenderedPageBreak/>
        <w:t>capacités des autorités chargées de veiller à la concurrence en organisant des formations et en coopérant avec d'autres pays de la région. Toutefois, le fonctionnement de cette Commission se heurte à un certain nombre de difficultés internes (ressources humaines et financières) et externe (partage de compétence avec la Commission de l’UEMOA).</w:t>
      </w:r>
    </w:p>
    <w:p w14:paraId="7B524645" w14:textId="77777777" w:rsidR="005D7A52" w:rsidRPr="00913D81" w:rsidRDefault="005D7A52" w:rsidP="00A25197">
      <w:pPr>
        <w:pStyle w:val="Normalweb"/>
        <w:shd w:val="clear" w:color="auto" w:fill="FFFFFF"/>
        <w:spacing w:before="0" w:beforeAutospacing="0" w:after="120" w:afterAutospacing="0" w:line="276" w:lineRule="auto"/>
        <w:ind w:right="57"/>
        <w:rPr>
          <w:rFonts w:ascii="Tw Cen MT" w:eastAsia="Tahoma" w:hAnsi="Tw Cen MT" w:cs="Arial"/>
          <w:w w:val="105"/>
          <w:lang w:eastAsia="en-US"/>
        </w:rPr>
      </w:pPr>
      <w:r w:rsidRPr="00913D81">
        <w:rPr>
          <w:rFonts w:ascii="Tw Cen MT" w:eastAsia="Tahoma" w:hAnsi="Tw Cen MT" w:cs="Arial"/>
          <w:bCs/>
          <w:w w:val="105"/>
          <w:lang w:eastAsia="en-US"/>
        </w:rPr>
        <w:t xml:space="preserve">Des Autorités Administratives Indépendantes sont également créées pour assurer la régulation et la libre concurrence dans plusieurs secteurs. Ainsi, en est-il de l’Agence de Régulation des Télécommunications et des Postes (ARTP), dans le secteur de l’électricité, de la Commission de Régulation du secteur de l’Electricité (CRSE), dans le domaine de l’audiovisuel, du Conseil National de Régulation de l’Audiovisuel (CNRA), dans le domaine des marchés publics, de l’Agence de Régulation des Marchés publics (ARMP).  La création et le fonctionnement de ces AAI découlent aussi d’initiatives communautaires notamment de directives de l’UEMOA. Toutefois, l’opérationnalisation de l’Autorité de Régionale de la Concurrence de la CEDEAO avec ses propres textes et directives sur la concurrence pourrait compliquer davantage les relations entre les autorités nationales et celles régionales. </w:t>
      </w:r>
    </w:p>
    <w:p w14:paraId="1E5EB0AA" w14:textId="77777777" w:rsidR="005D7A52" w:rsidRPr="00913D81" w:rsidRDefault="005D7A52" w:rsidP="00A25197">
      <w:pPr>
        <w:ind w:right="57"/>
        <w:rPr>
          <w:rFonts w:cs="Arial"/>
          <w:bCs/>
          <w:w w:val="105"/>
          <w:szCs w:val="24"/>
        </w:rPr>
      </w:pPr>
      <w:r w:rsidRPr="00913D81">
        <w:rPr>
          <w:rFonts w:cs="Arial"/>
          <w:b/>
          <w:bCs/>
          <w:w w:val="105"/>
          <w:szCs w:val="24"/>
        </w:rPr>
        <w:t>Dans le domaine de la territorialisation des politiques publiques</w:t>
      </w:r>
      <w:r w:rsidRPr="00913D81">
        <w:rPr>
          <w:rFonts w:cs="Arial"/>
          <w:bCs/>
          <w:w w:val="105"/>
          <w:szCs w:val="24"/>
        </w:rPr>
        <w:t xml:space="preserve">, l’Acte III de la décentralisation a été consacré par la loi n°2013-10 du 28 décembre 2013 portant Code général des collectivités locales, modifiée, pour organiser le Sénégal en territoires viables, compétitifs et porteurs de développement durable. En effet, une bonne politique de l’aménagement du territoire permet de prendre en compte la dimension territoriale dans les planifications économiques et sociales, et de rééquilibrer les investissements selon le principe d’équité et de solidarité. </w:t>
      </w:r>
    </w:p>
    <w:p w14:paraId="31AC3D4E" w14:textId="77777777" w:rsidR="005D7A52" w:rsidRPr="00913D81" w:rsidRDefault="005D7A52" w:rsidP="00A25197">
      <w:pPr>
        <w:ind w:right="57"/>
        <w:rPr>
          <w:rFonts w:cs="Arial"/>
          <w:w w:val="105"/>
          <w:szCs w:val="24"/>
        </w:rPr>
      </w:pPr>
      <w:r w:rsidRPr="00913D81">
        <w:rPr>
          <w:rFonts w:cs="Arial"/>
          <w:bCs/>
          <w:w w:val="105"/>
          <w:szCs w:val="24"/>
        </w:rPr>
        <w:t>Par ailleurs, dans le cadre de l’intégration régionale, les collectivités territoriales en particulier celles situées sur des espaces limitrophes d’un ou deux pays doivent jouer un rôle majeur pour promouvoir la coopération transfrontalière, grâce notamment à la promotion de la paix et de la sécurité, la libre circulation des personnes mais également le développement d’initiatives communes en matière d’activités économiques et culturelles. C’est pour encourager ces actions que les Chefs d’Etat et de Gouvernement de la CEDEAO ont adopté en 2006 la décision</w:t>
      </w:r>
      <w:r w:rsidRPr="00913D81">
        <w:rPr>
          <w:rFonts w:cs="Arial"/>
          <w:w w:val="105"/>
          <w:szCs w:val="24"/>
        </w:rPr>
        <w:t xml:space="preserve"> A/Dec.2/01/06 du 12 janvier 2006 relative à l’adoption du concept de « pays frontaliers » et au développement de la Coopération transfrontalière. A cet effet, un fonds communautaire pour la facilitation de la coopération transfrontalière a été créé et opérationnalisé par le Programme régional d’appui à la Coopération transfrontalière (PRACT). </w:t>
      </w:r>
    </w:p>
    <w:p w14:paraId="37B8A11E" w14:textId="77777777" w:rsidR="005D7A52" w:rsidRPr="00913D81" w:rsidRDefault="005D7A52" w:rsidP="00A25197">
      <w:pPr>
        <w:ind w:right="57"/>
        <w:rPr>
          <w:rFonts w:cs="Arial"/>
          <w:w w:val="105"/>
          <w:szCs w:val="24"/>
        </w:rPr>
      </w:pPr>
      <w:r w:rsidRPr="00913D81">
        <w:rPr>
          <w:rFonts w:cs="Arial"/>
          <w:w w:val="105"/>
          <w:szCs w:val="24"/>
        </w:rPr>
        <w:t>Dans le domaine de la gouvernance sociale, plusieurs initiatives sont mises en œuvre à la fois aux niveaux régional et national pour renforcer l’intégration sociale. Ainsi, en matière de migration, la CEDEAO s’est dotée d’un cadre stratégique régissant les migrations au sein de la région. Elle a été instituée en 1975 dans une volonté de favoriser la création d’un espace socio-économique commun pour les populations locales, reconnaissant ainsi l’importance des migrations régionales dans le renforcement du processus d’intégration régionale et sous régionale.  La libre circulation des personnes à l</w:t>
      </w:r>
      <w:r w:rsidRPr="00913D81">
        <w:rPr>
          <w:rFonts w:cs="Tw Cen MT"/>
          <w:w w:val="105"/>
          <w:szCs w:val="24"/>
        </w:rPr>
        <w:t>’</w:t>
      </w:r>
      <w:r w:rsidRPr="00913D81">
        <w:rPr>
          <w:rFonts w:cs="Arial"/>
          <w:w w:val="105"/>
          <w:szCs w:val="24"/>
        </w:rPr>
        <w:t>int</w:t>
      </w:r>
      <w:r w:rsidRPr="00913D81">
        <w:rPr>
          <w:rFonts w:cs="Tw Cen MT"/>
          <w:w w:val="105"/>
          <w:szCs w:val="24"/>
        </w:rPr>
        <w:t>é</w:t>
      </w:r>
      <w:r w:rsidRPr="00913D81">
        <w:rPr>
          <w:rFonts w:cs="Arial"/>
          <w:w w:val="105"/>
          <w:szCs w:val="24"/>
        </w:rPr>
        <w:t>rieur de l</w:t>
      </w:r>
      <w:r w:rsidRPr="00913D81">
        <w:rPr>
          <w:rFonts w:cs="Tw Cen MT"/>
          <w:w w:val="105"/>
          <w:szCs w:val="24"/>
        </w:rPr>
        <w:t>’</w:t>
      </w:r>
      <w:r w:rsidRPr="00913D81">
        <w:rPr>
          <w:rFonts w:cs="Arial"/>
          <w:w w:val="105"/>
          <w:szCs w:val="24"/>
        </w:rPr>
        <w:t>espace CEDEAO est une priorité fondamentale de la politique d’intégration des Etats membres de la CEDEAO. Elle est un prérequis pour l’intégration régionale et contribue à alléger les pressions migratoires au-delà des frontières de la CEDEAO</w:t>
      </w:r>
    </w:p>
    <w:p w14:paraId="4109D630" w14:textId="77777777" w:rsidR="005D7A52" w:rsidRPr="00913D81" w:rsidRDefault="005D7A52" w:rsidP="00A25197">
      <w:pPr>
        <w:ind w:right="57"/>
        <w:rPr>
          <w:rFonts w:cs="Arial"/>
          <w:w w:val="105"/>
          <w:szCs w:val="24"/>
        </w:rPr>
      </w:pPr>
      <w:r w:rsidRPr="00913D81">
        <w:rPr>
          <w:rFonts w:cs="Arial"/>
          <w:w w:val="105"/>
          <w:szCs w:val="24"/>
        </w:rPr>
        <w:lastRenderedPageBreak/>
        <w:t xml:space="preserve">Les flux migratoires d’origine ouest-africains vers le Sénégal sont dominés par la migration de travail et englobent des flux de migration temporaire et saisonnière, des mouvements permanents ainsi que des déplacements transfrontaliers de courte durée rendus possibles grâce au cadre stratégique régissant les migrations au sein de la région. </w:t>
      </w:r>
    </w:p>
    <w:p w14:paraId="316AC48F" w14:textId="77777777" w:rsidR="005D7A52" w:rsidRPr="00913D81" w:rsidRDefault="005D7A52" w:rsidP="00A25197">
      <w:pPr>
        <w:ind w:right="57"/>
        <w:rPr>
          <w:rFonts w:cs="Arial"/>
          <w:w w:val="105"/>
          <w:szCs w:val="24"/>
        </w:rPr>
      </w:pPr>
      <w:r w:rsidRPr="00913D81">
        <w:rPr>
          <w:rFonts w:cs="Arial"/>
          <w:w w:val="105"/>
          <w:szCs w:val="24"/>
        </w:rPr>
        <w:t xml:space="preserve">Selon les résultats des enquêtes Migration et Politique d’Intégration en Afrique de l’Ouest (MPIAO) en 2019 de l’IPAR, les trois principaux facteurs qui ont motivé ces migrants rencontrés au Sénégal sont : les études (35%) suivi de la recherche d’emploi (27,8%), et de la recherche de revenu supplémentaire (17,9%). </w:t>
      </w:r>
    </w:p>
    <w:p w14:paraId="6803629C" w14:textId="77777777" w:rsidR="005D7A52" w:rsidRPr="00913D81" w:rsidRDefault="005D7A52" w:rsidP="00A25197">
      <w:pPr>
        <w:ind w:right="57"/>
        <w:rPr>
          <w:rFonts w:cs="Arial"/>
          <w:w w:val="105"/>
          <w:szCs w:val="24"/>
        </w:rPr>
      </w:pPr>
      <w:r w:rsidRPr="00913D81">
        <w:rPr>
          <w:rFonts w:cs="Arial"/>
          <w:b/>
          <w:bCs/>
          <w:w w:val="105"/>
          <w:szCs w:val="24"/>
        </w:rPr>
        <w:t>Dans le domaine de l’appropriation des politiques et programmes d’intégration régionale</w:t>
      </w:r>
      <w:r w:rsidRPr="00913D81">
        <w:rPr>
          <w:rFonts w:cs="Arial"/>
          <w:bCs/>
          <w:w w:val="105"/>
          <w:szCs w:val="24"/>
        </w:rPr>
        <w:t xml:space="preserve">, les revues annuelles instituées par l’UEMOA à partir de 2014 permettent d’évaluer les efforts fournis par les Etats dans la mise en œuvre des réformes, politiques, programmes et projets communautaires. Ainsi, la performance du Sénégal en termes de transposition et d’application des actes est passée de 46% en 2014 à 74,2% en 2022, après un pic de 76,1% en 2021. Cela démontre une mise en œuvre assez satisfaisante des réformes de l’UEMOA même si dans certains secteurs les efforts restent encore faibles. Au niveau de la CEDEAO, en dehors de la surveillance multilatérale qui fait l’objet de rapports périodiques, rendus obligatoires par les besoins de mise en œuvre de la feuille de route pour la monnaie unique, il n’existe aucun autre mécanisme d’appréciation de la mise en œuvre des textes. </w:t>
      </w:r>
    </w:p>
    <w:p w14:paraId="7FEF0C4F" w14:textId="0CB9C1D2" w:rsidR="004A5ADB" w:rsidRPr="005D7A52" w:rsidRDefault="005D7A52" w:rsidP="00A25197">
      <w:pPr>
        <w:ind w:right="57"/>
        <w:rPr>
          <w:rFonts w:cs="Arial"/>
          <w:color w:val="1D2228"/>
          <w:szCs w:val="24"/>
          <w:shd w:val="clear" w:color="auto" w:fill="FFFFFF"/>
        </w:rPr>
      </w:pPr>
      <w:r w:rsidRPr="00913D81">
        <w:rPr>
          <w:rFonts w:cs="Arial"/>
          <w:color w:val="000000" w:themeColor="text1"/>
          <w:szCs w:val="24"/>
        </w:rPr>
        <w:t>Ainsi, dans le ca</w:t>
      </w:r>
      <w:r w:rsidRPr="00913D81">
        <w:rPr>
          <w:rFonts w:cs="Arial"/>
          <w:szCs w:val="24"/>
        </w:rPr>
        <w:t>dre de la surveillance multilatérale, la CEDEAO et l’UEMOA ont presque les mêmes critères de convergence relativement à l’inflation, au déficit budgétaire et à l’endettement public, avec toutefois des seuils différents pour l’inflation</w:t>
      </w:r>
      <w:r w:rsidRPr="00913D81">
        <w:rPr>
          <w:rStyle w:val="Appelnotedebasdep"/>
          <w:rFonts w:cs="Arial"/>
          <w:szCs w:val="24"/>
        </w:rPr>
        <w:footnoteReference w:id="1"/>
      </w:r>
      <w:r w:rsidRPr="00913D81">
        <w:rPr>
          <w:rFonts w:cs="Arial"/>
          <w:szCs w:val="24"/>
        </w:rPr>
        <w:t xml:space="preserve">. Selon le dernier rapport de convergence de décembre 2022, le Sénégal a enregistré un </w:t>
      </w:r>
      <w:r w:rsidRPr="00913D81">
        <w:rPr>
          <w:rFonts w:cs="Arial"/>
          <w:color w:val="1D2228"/>
          <w:szCs w:val="24"/>
          <w:shd w:val="clear" w:color="auto" w:fill="FFFFFF"/>
        </w:rPr>
        <w:t>repli avec le non-respect des critères relatifs à l’inflation (9,7% contre 2,2</w:t>
      </w:r>
      <w:r w:rsidRPr="00913D81">
        <w:rPr>
          <w:rFonts w:cs="Arial"/>
          <w:color w:val="1D2228"/>
          <w:szCs w:val="24"/>
          <w:shd w:val="clear" w:color="auto" w:fill="FFFFFF"/>
          <w:lang w:val="x-none"/>
        </w:rPr>
        <w:t>% </w:t>
      </w:r>
      <w:r w:rsidRPr="00913D81">
        <w:rPr>
          <w:rFonts w:cs="Arial"/>
          <w:color w:val="1D2228"/>
          <w:szCs w:val="24"/>
          <w:shd w:val="clear" w:color="auto" w:fill="FFFFFF"/>
        </w:rPr>
        <w:t>en</w:t>
      </w:r>
      <w:r w:rsidRPr="00913D81">
        <w:rPr>
          <w:rFonts w:cs="Arial"/>
          <w:color w:val="1D2228"/>
          <w:szCs w:val="24"/>
          <w:shd w:val="clear" w:color="auto" w:fill="FFFFFF"/>
          <w:lang w:val="x-none"/>
        </w:rPr>
        <w:t> 20</w:t>
      </w:r>
      <w:r w:rsidRPr="00913D81">
        <w:rPr>
          <w:rFonts w:cs="Arial"/>
          <w:color w:val="1D2228"/>
          <w:szCs w:val="24"/>
          <w:shd w:val="clear" w:color="auto" w:fill="FFFFFF"/>
        </w:rPr>
        <w:t>21) et au déficit budgétaire (6,3% en 2021 et 2022). Toutefois, le Sénégal a respecté les critères relatifs à l’endettement public (68,2%)</w:t>
      </w:r>
      <w:r w:rsidRPr="00913D81">
        <w:rPr>
          <w:rStyle w:val="Appelnotedebasdep"/>
          <w:rFonts w:cs="Arial"/>
          <w:color w:val="1D2228"/>
          <w:szCs w:val="24"/>
          <w:shd w:val="clear" w:color="auto" w:fill="FFFFFF"/>
        </w:rPr>
        <w:footnoteReference w:id="2"/>
      </w:r>
      <w:r w:rsidRPr="00913D81">
        <w:rPr>
          <w:rFonts w:cs="Arial"/>
          <w:color w:val="1D2228"/>
          <w:szCs w:val="24"/>
          <w:shd w:val="clear" w:color="auto" w:fill="FFFFFF"/>
        </w:rPr>
        <w:t xml:space="preserve"> et la masse salariale (32,8%/UEMOA). En plus de ces critères communs, la CEDEAO dispose de trois (3) critères supplémentaires à savoir le financement du déficit budgétaire par la Banque centrale, les réserves de change en mois d’importation et la variation du taux de change nominal. Ces critères monétaires sont d’habitude respectés par t</w:t>
      </w:r>
      <w:r>
        <w:rPr>
          <w:rFonts w:cs="Arial"/>
          <w:color w:val="1D2228"/>
          <w:szCs w:val="24"/>
          <w:shd w:val="clear" w:color="auto" w:fill="FFFFFF"/>
        </w:rPr>
        <w:t>ous les pays membres de l’UEMOA</w:t>
      </w:r>
      <w:r w:rsidR="004A5ADB">
        <w:rPr>
          <w:rFonts w:cs="Arial"/>
          <w:color w:val="1D2228"/>
          <w:szCs w:val="24"/>
          <w:shd w:val="clear" w:color="auto" w:fill="FFFFFF"/>
        </w:rPr>
        <w:t>.</w:t>
      </w:r>
    </w:p>
    <w:p w14:paraId="10B81FA6" w14:textId="2783292C" w:rsidR="004A5ADB" w:rsidRDefault="005D7A52" w:rsidP="004A5ADB">
      <w:pPr>
        <w:pStyle w:val="Titre3"/>
        <w:keepNext w:val="0"/>
        <w:keepLines w:val="0"/>
        <w:numPr>
          <w:ilvl w:val="2"/>
          <w:numId w:val="0"/>
        </w:numPr>
        <w:spacing w:before="100" w:beforeAutospacing="1" w:after="100" w:afterAutospacing="1" w:line="276" w:lineRule="auto"/>
        <w:ind w:left="2136" w:hanging="720"/>
        <w:jc w:val="left"/>
        <w:rPr>
          <w:rFonts w:cs="Arial"/>
          <w:sz w:val="24"/>
        </w:rPr>
      </w:pPr>
      <w:bookmarkStart w:id="29" w:name="_Toc134287594"/>
      <w:bookmarkStart w:id="30" w:name="_Toc135140174"/>
      <w:r>
        <w:rPr>
          <w:rFonts w:cs="Arial"/>
        </w:rPr>
        <w:t>III.2</w:t>
      </w:r>
      <w:r w:rsidR="00D661B4">
        <w:rPr>
          <w:rFonts w:cs="Arial"/>
        </w:rPr>
        <w:t xml:space="preserve">. </w:t>
      </w:r>
      <w:r w:rsidR="004A5ADB">
        <w:rPr>
          <w:rFonts w:cs="Arial"/>
        </w:rPr>
        <w:t>Compétitivité et développement inclusif</w:t>
      </w:r>
      <w:bookmarkEnd w:id="29"/>
      <w:bookmarkEnd w:id="30"/>
    </w:p>
    <w:p w14:paraId="02A2DAFB" w14:textId="77777777" w:rsidR="004A5ADB" w:rsidRDefault="004A5ADB" w:rsidP="004A5ADB">
      <w:pPr>
        <w:spacing w:before="120" w:after="100" w:afterAutospacing="1"/>
        <w:ind w:left="284" w:right="57" w:firstLine="424"/>
        <w:rPr>
          <w:rFonts w:cs="Arial"/>
          <w:w w:val="105"/>
          <w:szCs w:val="24"/>
        </w:rPr>
      </w:pPr>
      <w:r>
        <w:rPr>
          <w:rFonts w:cs="Arial"/>
          <w:w w:val="105"/>
          <w:szCs w:val="24"/>
        </w:rPr>
        <w:t>La population du Sénégal est estimée à 16.876.710 habitants en 2021. La répartition par sexe montre que la population est composée de 51% de femmes contre 49% d’hommes. Dakar est la ville la plus peuplée avec 23% de la population totale.</w:t>
      </w:r>
    </w:p>
    <w:p w14:paraId="3125F083" w14:textId="77777777" w:rsidR="00D661B4" w:rsidRDefault="00D661B4" w:rsidP="004A5ADB">
      <w:pPr>
        <w:spacing w:before="120" w:after="100" w:afterAutospacing="1"/>
        <w:ind w:left="284" w:right="57"/>
        <w:rPr>
          <w:rFonts w:cs="Arial"/>
          <w:b/>
          <w:bCs/>
          <w:szCs w:val="24"/>
          <w:u w:val="single"/>
        </w:rPr>
      </w:pPr>
      <w:bookmarkStart w:id="31" w:name="_Toc134226402"/>
    </w:p>
    <w:p w14:paraId="3CB78116" w14:textId="6A5B77A6" w:rsidR="004A5ADB" w:rsidRDefault="00D661B4" w:rsidP="005D7A52">
      <w:pPr>
        <w:spacing w:before="120" w:after="80"/>
        <w:ind w:right="57"/>
        <w:rPr>
          <w:rFonts w:cs="Arial"/>
          <w:szCs w:val="24"/>
          <w:u w:val="single"/>
        </w:rPr>
      </w:pPr>
      <w:bookmarkStart w:id="32" w:name="_Toc135140206"/>
      <w:r w:rsidRPr="00D661B4">
        <w:rPr>
          <w:rFonts w:cs="Arial"/>
          <w:noProof/>
          <w:sz w:val="26"/>
          <w:szCs w:val="26"/>
          <w:lang w:eastAsia="fr-FR"/>
        </w:rPr>
        <w:lastRenderedPageBreak/>
        <w:drawing>
          <wp:anchor distT="0" distB="0" distL="114300" distR="114300" simplePos="0" relativeHeight="251803648" behindDoc="0" locked="0" layoutInCell="1" allowOverlap="1" wp14:anchorId="26C6085B" wp14:editId="224AD487">
            <wp:simplePos x="0" y="0"/>
            <wp:positionH relativeFrom="margin">
              <wp:align>right</wp:align>
            </wp:positionH>
            <wp:positionV relativeFrom="paragraph">
              <wp:posOffset>300355</wp:posOffset>
            </wp:positionV>
            <wp:extent cx="5745480" cy="2701925"/>
            <wp:effectExtent l="0" t="0" r="7620" b="3175"/>
            <wp:wrapSquare wrapText="bothSides"/>
            <wp:docPr id="27" name="Graphique 27">
              <a:extLst xmlns:a="http://schemas.openxmlformats.org/drawingml/2006/main">
                <a:ext uri="{FF2B5EF4-FFF2-40B4-BE49-F238E27FC236}">
                  <a16:creationId xmlns:lc="http://schemas.openxmlformats.org/drawingml/2006/lockedCanva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D940DE0-2087-474E-BE3F-6F6BA3F7EB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anchor>
        </w:drawing>
      </w:r>
      <w:r w:rsidR="004A5ADB">
        <w:rPr>
          <w:rFonts w:cs="Arial"/>
          <w:b/>
          <w:bCs/>
          <w:szCs w:val="24"/>
          <w:u w:val="single"/>
        </w:rPr>
        <w:t xml:space="preserve">Graphique </w:t>
      </w:r>
      <w:r w:rsidR="004A5ADB">
        <w:fldChar w:fldCharType="begin"/>
      </w:r>
      <w:r w:rsidR="004A5ADB">
        <w:rPr>
          <w:rFonts w:cs="Arial"/>
          <w:b/>
          <w:bCs/>
          <w:szCs w:val="24"/>
          <w:u w:val="single"/>
        </w:rPr>
        <w:instrText xml:space="preserve"> SEQ Graphique \* ARABIC </w:instrText>
      </w:r>
      <w:r w:rsidR="004A5ADB">
        <w:fldChar w:fldCharType="separate"/>
      </w:r>
      <w:r w:rsidR="004A5ADB">
        <w:rPr>
          <w:rFonts w:cs="Arial"/>
          <w:b/>
          <w:bCs/>
          <w:noProof/>
          <w:szCs w:val="24"/>
          <w:u w:val="single"/>
        </w:rPr>
        <w:t>1</w:t>
      </w:r>
      <w:r w:rsidR="004A5ADB">
        <w:fldChar w:fldCharType="end"/>
      </w:r>
      <w:r w:rsidR="004A5ADB">
        <w:rPr>
          <w:rFonts w:cs="Arial"/>
          <w:szCs w:val="24"/>
        </w:rPr>
        <w:t>: Pyramide des âges du Sénégal en 2021</w:t>
      </w:r>
      <w:bookmarkEnd w:id="31"/>
      <w:bookmarkEnd w:id="32"/>
    </w:p>
    <w:p w14:paraId="098BA38C" w14:textId="423AF1CF" w:rsidR="00D661B4" w:rsidRPr="00D661B4" w:rsidRDefault="00D661B4" w:rsidP="005D7A52">
      <w:pPr>
        <w:keepNext/>
        <w:spacing w:before="80" w:after="0"/>
        <w:ind w:right="57"/>
        <w:rPr>
          <w:rFonts w:cs="Arial"/>
          <w:sz w:val="12"/>
          <w:szCs w:val="12"/>
        </w:rPr>
      </w:pPr>
    </w:p>
    <w:p w14:paraId="66E001C8" w14:textId="59B65385" w:rsidR="004A5ADB" w:rsidRPr="009F58B2" w:rsidRDefault="004A5ADB" w:rsidP="00D661B4">
      <w:pPr>
        <w:keepNext/>
        <w:spacing w:before="80"/>
        <w:ind w:right="57"/>
        <w:rPr>
          <w:rFonts w:cs="Tahoma"/>
          <w:i/>
          <w:sz w:val="20"/>
          <w:szCs w:val="20"/>
        </w:rPr>
      </w:pPr>
      <w:r w:rsidRPr="009F58B2">
        <w:rPr>
          <w:rFonts w:cs="Arial"/>
          <w:b/>
          <w:i/>
          <w:sz w:val="20"/>
          <w:szCs w:val="20"/>
          <w:u w:val="single"/>
        </w:rPr>
        <w:t>Source </w:t>
      </w:r>
      <w:r w:rsidRPr="009F58B2">
        <w:rPr>
          <w:rFonts w:cs="Arial"/>
          <w:b/>
          <w:i/>
          <w:sz w:val="20"/>
          <w:szCs w:val="20"/>
        </w:rPr>
        <w:t>:</w:t>
      </w:r>
      <w:r w:rsidRPr="009F58B2">
        <w:rPr>
          <w:rFonts w:cs="Arial"/>
          <w:i/>
          <w:sz w:val="20"/>
          <w:szCs w:val="20"/>
        </w:rPr>
        <w:t xml:space="preserve"> ANSD, 2022</w:t>
      </w:r>
    </w:p>
    <w:p w14:paraId="3AB14FDD" w14:textId="02E7D52E" w:rsidR="004A5ADB" w:rsidRDefault="005D7A52" w:rsidP="005D7A52">
      <w:pPr>
        <w:spacing w:after="60"/>
        <w:ind w:right="57"/>
        <w:rPr>
          <w:rFonts w:cs="Arial"/>
          <w:w w:val="105"/>
          <w:szCs w:val="24"/>
        </w:rPr>
      </w:pPr>
      <w:r w:rsidRPr="00913D81">
        <w:rPr>
          <w:rFonts w:cs="Arial"/>
          <w:w w:val="105"/>
          <w:szCs w:val="24"/>
        </w:rPr>
        <w:t>La population active (15-59 ans) se situe à 9.007.468 habitants et les jeunes âgés de 15-34 ans représentent 5.765.048 habitants, soit une part importante de 64.0%. Ce qui montre qu’il y a d’une part un défi concernant la fourniture de services sociaux et d’autre part l’existence d’une opportunité à saisir avec une forte popu</w:t>
      </w:r>
      <w:r>
        <w:rPr>
          <w:rFonts w:cs="Arial"/>
          <w:w w:val="105"/>
          <w:szCs w:val="24"/>
        </w:rPr>
        <w:t>lation active à majorité jeune</w:t>
      </w:r>
      <w:r w:rsidR="004A5ADB">
        <w:rPr>
          <w:rFonts w:cs="Arial"/>
          <w:w w:val="105"/>
          <w:szCs w:val="24"/>
        </w:rPr>
        <w:t>.</w:t>
      </w:r>
    </w:p>
    <w:p w14:paraId="3C974B5B" w14:textId="12E9F631" w:rsidR="004A5ADB" w:rsidRPr="001F5399" w:rsidRDefault="00E10E19" w:rsidP="005D7A52">
      <w:pPr>
        <w:pStyle w:val="Lgende"/>
        <w:keepNext/>
        <w:spacing w:before="240" w:after="100" w:line="276" w:lineRule="auto"/>
        <w:rPr>
          <w:rFonts w:ascii="Tw Cen MT" w:hAnsi="Tw Cen MT" w:cs="Arial"/>
          <w:b/>
          <w:bCs/>
          <w:i w:val="0"/>
          <w:color w:val="auto"/>
          <w:sz w:val="24"/>
          <w:szCs w:val="24"/>
        </w:rPr>
      </w:pPr>
      <w:bookmarkStart w:id="33" w:name="_Toc134226403"/>
      <w:bookmarkStart w:id="34" w:name="_Toc135140207"/>
      <w:r w:rsidRPr="001F5399">
        <w:rPr>
          <w:rFonts w:cs="Arial"/>
          <w:i w:val="0"/>
          <w:noProof/>
          <w:szCs w:val="24"/>
          <w:bdr w:val="single" w:sz="4" w:space="0" w:color="auto" w:frame="1"/>
        </w:rPr>
        <w:drawing>
          <wp:anchor distT="0" distB="0" distL="114300" distR="114300" simplePos="0" relativeHeight="251804672" behindDoc="0" locked="0" layoutInCell="1" allowOverlap="1" wp14:anchorId="4F91FB18" wp14:editId="414FB4A3">
            <wp:simplePos x="0" y="0"/>
            <wp:positionH relativeFrom="margin">
              <wp:align>right</wp:align>
            </wp:positionH>
            <wp:positionV relativeFrom="paragraph">
              <wp:posOffset>388620</wp:posOffset>
            </wp:positionV>
            <wp:extent cx="5745480" cy="2337435"/>
            <wp:effectExtent l="0" t="0" r="7620" b="5715"/>
            <wp:wrapTopAndBottom/>
            <wp:docPr id="26" name="Graphique 26">
              <a:extLst xmlns:a="http://schemas.openxmlformats.org/drawingml/2006/main">
                <a:ext uri="{FF2B5EF4-FFF2-40B4-BE49-F238E27FC236}">
                  <a16:creationId xmlns:lc="http://schemas.openxmlformats.org/drawingml/2006/lockedCanva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40CBABF3-506A-4BBE-8D1D-81CA1B560CE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r w:rsidR="004A5ADB" w:rsidRPr="001F5399">
        <w:rPr>
          <w:rFonts w:ascii="Tw Cen MT" w:hAnsi="Tw Cen MT" w:cs="Arial"/>
          <w:b/>
          <w:bCs/>
          <w:i w:val="0"/>
          <w:color w:val="auto"/>
          <w:sz w:val="24"/>
          <w:szCs w:val="24"/>
          <w:u w:val="single"/>
        </w:rPr>
        <w:t xml:space="preserve">Graphique </w:t>
      </w:r>
      <w:r w:rsidR="004A5ADB" w:rsidRPr="001F5399">
        <w:rPr>
          <w:i w:val="0"/>
        </w:rPr>
        <w:fldChar w:fldCharType="begin"/>
      </w:r>
      <w:r w:rsidR="004A5ADB" w:rsidRPr="001F5399">
        <w:rPr>
          <w:rFonts w:ascii="Tw Cen MT" w:hAnsi="Tw Cen MT" w:cs="Arial"/>
          <w:b/>
          <w:bCs/>
          <w:i w:val="0"/>
          <w:color w:val="auto"/>
          <w:sz w:val="24"/>
          <w:szCs w:val="24"/>
          <w:u w:val="single"/>
        </w:rPr>
        <w:instrText xml:space="preserve"> SEQ Graphique \* ARABIC </w:instrText>
      </w:r>
      <w:r w:rsidR="004A5ADB" w:rsidRPr="001F5399">
        <w:rPr>
          <w:i w:val="0"/>
        </w:rPr>
        <w:fldChar w:fldCharType="separate"/>
      </w:r>
      <w:r w:rsidR="004A5ADB" w:rsidRPr="001F5399">
        <w:rPr>
          <w:rFonts w:ascii="Tw Cen MT" w:hAnsi="Tw Cen MT" w:cs="Arial"/>
          <w:b/>
          <w:bCs/>
          <w:i w:val="0"/>
          <w:noProof/>
          <w:color w:val="auto"/>
          <w:sz w:val="24"/>
          <w:szCs w:val="24"/>
          <w:u w:val="single"/>
        </w:rPr>
        <w:t>2</w:t>
      </w:r>
      <w:r w:rsidR="004A5ADB" w:rsidRPr="001F5399">
        <w:rPr>
          <w:i w:val="0"/>
        </w:rPr>
        <w:fldChar w:fldCharType="end"/>
      </w:r>
      <w:r w:rsidR="004A5ADB" w:rsidRPr="001F5399">
        <w:rPr>
          <w:rFonts w:ascii="Tw Cen MT" w:hAnsi="Tw Cen MT" w:cs="Arial"/>
          <w:b/>
          <w:bCs/>
          <w:i w:val="0"/>
          <w:color w:val="auto"/>
          <w:sz w:val="24"/>
          <w:szCs w:val="24"/>
        </w:rPr>
        <w:t xml:space="preserve"> : </w:t>
      </w:r>
      <w:r w:rsidR="004A5ADB" w:rsidRPr="001F5399">
        <w:rPr>
          <w:rFonts w:ascii="Tw Cen MT" w:hAnsi="Tw Cen MT" w:cs="Arial"/>
          <w:i w:val="0"/>
          <w:iCs w:val="0"/>
          <w:color w:val="auto"/>
          <w:sz w:val="24"/>
          <w:szCs w:val="24"/>
        </w:rPr>
        <w:t>Évolution du taux de chômage au Sénégal</w:t>
      </w:r>
      <w:bookmarkEnd w:id="33"/>
      <w:r w:rsidR="004A5ADB" w:rsidRPr="001F5399">
        <w:rPr>
          <w:rFonts w:ascii="Tw Cen MT" w:hAnsi="Tw Cen MT" w:cs="Arial"/>
          <w:i w:val="0"/>
          <w:iCs w:val="0"/>
          <w:color w:val="auto"/>
          <w:sz w:val="24"/>
          <w:szCs w:val="24"/>
        </w:rPr>
        <w:t xml:space="preserve"> (%)</w:t>
      </w:r>
      <w:bookmarkEnd w:id="34"/>
    </w:p>
    <w:p w14:paraId="0145526F" w14:textId="45182B69" w:rsidR="00D661B4" w:rsidRPr="00D661B4" w:rsidRDefault="00D661B4" w:rsidP="00D661B4">
      <w:pPr>
        <w:spacing w:before="120" w:after="0"/>
        <w:ind w:right="57"/>
        <w:rPr>
          <w:rFonts w:cs="Arial"/>
          <w:b/>
          <w:bCs/>
          <w:sz w:val="4"/>
          <w:szCs w:val="4"/>
          <w:u w:val="single"/>
        </w:rPr>
      </w:pPr>
    </w:p>
    <w:p w14:paraId="7673405E" w14:textId="77777777" w:rsidR="00D661B4" w:rsidRPr="009F58B2" w:rsidRDefault="004A5ADB" w:rsidP="00D661B4">
      <w:pPr>
        <w:spacing w:before="120" w:after="0"/>
        <w:ind w:right="57"/>
        <w:jc w:val="left"/>
        <w:rPr>
          <w:rFonts w:cs="Arial"/>
          <w:i/>
          <w:w w:val="105"/>
          <w:sz w:val="20"/>
          <w:szCs w:val="20"/>
        </w:rPr>
      </w:pPr>
      <w:r w:rsidRPr="009F58B2">
        <w:rPr>
          <w:rFonts w:cs="Arial"/>
          <w:b/>
          <w:bCs/>
          <w:i/>
          <w:sz w:val="20"/>
          <w:szCs w:val="20"/>
          <w:u w:val="single"/>
        </w:rPr>
        <w:t>Source</w:t>
      </w:r>
      <w:r w:rsidRPr="009F58B2">
        <w:rPr>
          <w:rFonts w:cs="Arial"/>
          <w:i/>
          <w:sz w:val="20"/>
          <w:szCs w:val="20"/>
        </w:rPr>
        <w:t>:</w:t>
      </w:r>
      <w:r w:rsidR="00D661B4" w:rsidRPr="009F58B2">
        <w:rPr>
          <w:rFonts w:cs="Arial"/>
          <w:i/>
          <w:sz w:val="20"/>
          <w:szCs w:val="20"/>
        </w:rPr>
        <w:t xml:space="preserve"> </w:t>
      </w:r>
      <w:r w:rsidRPr="009F58B2">
        <w:rPr>
          <w:rFonts w:cs="Arial"/>
          <w:i/>
          <w:sz w:val="20"/>
          <w:szCs w:val="20"/>
        </w:rPr>
        <w:t>ANSD,</w:t>
      </w:r>
      <w:r w:rsidR="00D661B4" w:rsidRPr="009F58B2">
        <w:rPr>
          <w:rFonts w:cs="Arial"/>
          <w:i/>
          <w:sz w:val="20"/>
          <w:szCs w:val="20"/>
        </w:rPr>
        <w:t xml:space="preserve"> </w:t>
      </w:r>
      <w:r w:rsidRPr="009F58B2">
        <w:rPr>
          <w:rFonts w:cs="Arial"/>
          <w:i/>
          <w:sz w:val="20"/>
          <w:szCs w:val="20"/>
        </w:rPr>
        <w:t>2022</w:t>
      </w:r>
      <w:r w:rsidRPr="009F58B2">
        <w:rPr>
          <w:rFonts w:cs="Arial"/>
          <w:i/>
          <w:sz w:val="20"/>
          <w:szCs w:val="20"/>
        </w:rPr>
        <w:br/>
      </w:r>
    </w:p>
    <w:p w14:paraId="476F47D3" w14:textId="77777777" w:rsidR="005D7A52" w:rsidRPr="00913D81" w:rsidRDefault="005D7A52" w:rsidP="005D7A52">
      <w:pPr>
        <w:ind w:right="57"/>
        <w:rPr>
          <w:rFonts w:cs="Arial"/>
          <w:w w:val="105"/>
          <w:szCs w:val="24"/>
        </w:rPr>
      </w:pPr>
      <w:r w:rsidRPr="00913D81">
        <w:rPr>
          <w:rFonts w:cs="Arial"/>
          <w:w w:val="105"/>
          <w:szCs w:val="24"/>
        </w:rPr>
        <w:t xml:space="preserve">Le phénomène du chômage affecte particulièrement les jeunes qui sont prédominants sur le marché du travail. Globalement, le taux du chômage, deux fois plus important chez les femmes que chez les hommes, est passé de 15.7% à 16.0% entre 2015 et 2019, puis s’est accentué avec la Covid-19 pour s’établir à 23.6% en 2021. Le chômage a des conséquences néfastes à la fois sur le plan social et sur le plan économique du fait qu’il limite potentiellement l’offre et induit une faible capacité de production de l’économie. </w:t>
      </w:r>
    </w:p>
    <w:p w14:paraId="1323339C" w14:textId="77777777" w:rsidR="005D7A52" w:rsidRPr="00913D81" w:rsidRDefault="005D7A52" w:rsidP="005D7A52">
      <w:pPr>
        <w:ind w:right="57"/>
        <w:rPr>
          <w:rFonts w:cs="Arial"/>
          <w:w w:val="105"/>
          <w:szCs w:val="24"/>
        </w:rPr>
      </w:pPr>
      <w:r w:rsidRPr="00913D81">
        <w:rPr>
          <w:rFonts w:cs="Arial"/>
          <w:w w:val="105"/>
          <w:szCs w:val="24"/>
        </w:rPr>
        <w:lastRenderedPageBreak/>
        <w:t xml:space="preserve">Dans le contexte du pays, il serait lié, en partie, à une sociologie qui privilégie certaines formes d’études jusqu’à un certain niveau, lesquelles n’aboutissent pas forcément à une employabilité et à une capacité d’entreprenariat à même de favoriser la mise à contribution de toutes les forces vives du pays. Paradoxalement, on note des déficits énormes de compétences dans des domaines de l’industrie et de l’agriculture moderne et extensive qui concentrent des potentialités importantes. </w:t>
      </w:r>
    </w:p>
    <w:p w14:paraId="487FA5DD" w14:textId="77777777" w:rsidR="005D7A52" w:rsidRPr="00913D81" w:rsidRDefault="005D7A52" w:rsidP="005D7A52">
      <w:pPr>
        <w:ind w:right="57"/>
        <w:rPr>
          <w:rFonts w:cs="Arial"/>
          <w:w w:val="105"/>
          <w:szCs w:val="24"/>
        </w:rPr>
      </w:pPr>
      <w:r w:rsidRPr="00913D81">
        <w:rPr>
          <w:rFonts w:cs="Arial"/>
          <w:b/>
          <w:bCs/>
          <w:w w:val="105"/>
          <w:szCs w:val="24"/>
        </w:rPr>
        <w:t>Sur le plan géographique,</w:t>
      </w:r>
      <w:r w:rsidRPr="00913D81">
        <w:rPr>
          <w:rFonts w:cs="Arial"/>
          <w:w w:val="105"/>
          <w:szCs w:val="24"/>
        </w:rPr>
        <w:t xml:space="preserve"> le Sénégal n’a de frontières qu’avec quatre (04) Etats membres de la CEDEAO (Gambie, Guinée Bissau, République de Guinée et Mali). Si on le situe au niveau de la ZLECAF, on ajoutera la Mauritanie et si on considère l’UEMOA, on retombe à deux (Mali et Guinée Bissau). La Gambie constitue à la fois une frontière et une enclave en direction de la Guinée Bissau et dans une moindre mesure de la République de Guinée. </w:t>
      </w:r>
    </w:p>
    <w:p w14:paraId="640ADFFB" w14:textId="77777777" w:rsidR="005D7A52" w:rsidRPr="00913D81" w:rsidRDefault="005D7A52" w:rsidP="005D7A52">
      <w:pPr>
        <w:ind w:right="57"/>
        <w:rPr>
          <w:rFonts w:cs="Arial"/>
          <w:w w:val="105"/>
          <w:szCs w:val="24"/>
        </w:rPr>
      </w:pPr>
      <w:r w:rsidRPr="00913D81">
        <w:rPr>
          <w:rFonts w:cs="Arial"/>
          <w:w w:val="105"/>
          <w:szCs w:val="24"/>
        </w:rPr>
        <w:t xml:space="preserve">L’enclavement du Sénégal peut constituer une contrainte tout comme elle peut, au contraire, s’avérer une opportunité à exploiter dans le cadre de l’intégration pour positionner le Sénégal en pôle d’attraction. Un développement bien pensé des infrastructures portuaires, routières et ferroviaires contribuera sans doute à faire du Sénégal un hub très important et une porte d’entrée et de sortie pour toute la région Afrique de l’ouest. Ainsi de pays enclavé, le pays pourrait devenir une voie de passage recherchée, tout comme l’avait conçu le colonisateur. </w:t>
      </w:r>
    </w:p>
    <w:p w14:paraId="103F9214" w14:textId="77777777" w:rsidR="005D7A52" w:rsidRPr="00913D81" w:rsidRDefault="005D7A52" w:rsidP="005D7A52">
      <w:pPr>
        <w:pStyle w:val="Normalweb"/>
        <w:shd w:val="clear" w:color="auto" w:fill="FFFFFF"/>
        <w:spacing w:before="0" w:beforeAutospacing="0" w:after="120" w:afterAutospacing="0" w:line="276" w:lineRule="auto"/>
        <w:ind w:right="57"/>
        <w:rPr>
          <w:rFonts w:ascii="Tw Cen MT" w:eastAsia="Tahoma" w:hAnsi="Tw Cen MT" w:cs="Arial"/>
          <w:w w:val="105"/>
        </w:rPr>
      </w:pPr>
      <w:r w:rsidRPr="00913D81">
        <w:rPr>
          <w:rFonts w:ascii="Tw Cen MT" w:eastAsia="Tahoma" w:hAnsi="Tw Cen MT" w:cs="Arial"/>
          <w:b/>
          <w:bCs/>
          <w:w w:val="105"/>
        </w:rPr>
        <w:t>Sur le plan macroéconomique,</w:t>
      </w:r>
      <w:r w:rsidRPr="00913D81">
        <w:rPr>
          <w:rFonts w:ascii="Tw Cen MT" w:eastAsia="Tahoma" w:hAnsi="Tw Cen MT" w:cs="Arial"/>
          <w:w w:val="105"/>
        </w:rPr>
        <w:t xml:space="preserve"> la croissance du Sénégal est ressortie à 6,5% en 2021, selon l’ANSD, dans un contexte de mise en œuvre de la première phase du PSE (2014-2018) où la cible moyenne était de 7%. Les secteurs qui soutiennent cette croissance sont davantage les services (3,8%) et la production industrielle (1,4%), au moment où le secteur primaire y contribue à hauteur réduite de 0,1%. Face à cette croissance extravertie portée principalement par les services, il serait nécessaire de développer le secteur primaire, l’agriculture notamment, pour maximiser les gains à retirer de l’intégration régionale. Comme toutes les autres économies, le pays n’a pas échappé aux effets de la Covid-19 qui se sont traduits par une forte baisse de l’activité économique au point que la croissance est retombée à 1,3% en 2020 contre 4,6% en 2019. La dynamique de la reprise enclenchée en 2021, avec un taux de croissance de 6,5%</w:t>
      </w:r>
      <w:r w:rsidRPr="00913D81">
        <w:rPr>
          <w:rFonts w:ascii="Tw Cen MT" w:eastAsia="Tahoma" w:hAnsi="Tw Cen MT" w:cs="Arial"/>
        </w:rPr>
        <w:footnoteReference w:id="3"/>
      </w:r>
      <w:r w:rsidRPr="00913D81">
        <w:rPr>
          <w:rFonts w:ascii="Tw Cen MT" w:eastAsia="Tahoma" w:hAnsi="Tw Cen MT" w:cs="Arial"/>
          <w:w w:val="105"/>
        </w:rPr>
        <w:t>, est compromise par les tensions politiques et sécuritaires au niveau de la sous-région et entre la Russie et l’Ukraine. Ainsi, l’activité économique en 2022 s’est décélérée pour ressortir à 4,8%</w:t>
      </w:r>
      <w:r w:rsidRPr="00913D81">
        <w:rPr>
          <w:rFonts w:ascii="Tw Cen MT" w:eastAsia="Tahoma" w:hAnsi="Tw Cen MT" w:cs="Arial"/>
        </w:rPr>
        <w:footnoteReference w:id="4"/>
      </w:r>
      <w:r w:rsidRPr="00913D81">
        <w:rPr>
          <w:rFonts w:ascii="Tw Cen MT" w:eastAsia="Tahoma" w:hAnsi="Tw Cen MT" w:cs="Arial"/>
          <w:w w:val="105"/>
        </w:rPr>
        <w:t xml:space="preserve">, en lien notamment avec la hausse significative des prix des denrées alimentaires et de l’énergie qui a entrainé la baisse de la consommation et de l'investissement. Réputé comme une économie traditionnellement stable en matière d’inflation (moins de 3% en général), les indicateurs de prix du Sénégal en 2022 se sont démarqués de cette tendance avec un taux record de 9,7%. En effet, les perturbations commerciales exacerbées par le conflit en Ukraine ont entrainé une flambée des prix de l'énergie et des denrées alimentaires. </w:t>
      </w:r>
    </w:p>
    <w:p w14:paraId="71D3C056" w14:textId="77777777" w:rsidR="005D7A52" w:rsidRPr="00913D81" w:rsidRDefault="005D7A52" w:rsidP="005D7A52">
      <w:pPr>
        <w:pStyle w:val="Normalweb"/>
        <w:shd w:val="clear" w:color="auto" w:fill="FFFFFF"/>
        <w:spacing w:before="0" w:beforeAutospacing="0" w:after="120" w:afterAutospacing="0" w:line="276" w:lineRule="auto"/>
        <w:ind w:right="57"/>
        <w:rPr>
          <w:rFonts w:ascii="Tw Cen MT" w:eastAsia="Tahoma" w:hAnsi="Tw Cen MT" w:cs="Arial"/>
          <w:w w:val="105"/>
        </w:rPr>
      </w:pPr>
      <w:r w:rsidRPr="00913D81">
        <w:rPr>
          <w:rFonts w:ascii="Tw Cen MT" w:eastAsia="Tahoma" w:hAnsi="Tw Cen MT" w:cs="Arial"/>
          <w:w w:val="105"/>
        </w:rPr>
        <w:t xml:space="preserve">Dans le domaine des finances publiques, la gestion budgétaire s’est toujours inscrite dans une dynamique de renforcement et de valorisation des investissements publics. Cela a nécessité de procéder à une rationalisation des dépenses de fonctionnement et de mettre en place une bonne stratégie de mobilisation des ressources intérieures et extérieures. Le contexte économique actuel, marqué par une succession de crises à l’échelle mondiale, s’est </w:t>
      </w:r>
      <w:r w:rsidRPr="00913D81">
        <w:rPr>
          <w:rFonts w:ascii="Tw Cen MT" w:eastAsia="Tahoma" w:hAnsi="Tw Cen MT" w:cs="Arial"/>
          <w:w w:val="105"/>
        </w:rPr>
        <w:lastRenderedPageBreak/>
        <w:t>traduite par un creusement du déficit budgétaire, lequel est passé de 3,9% du PIB en 2019 à 6,4% en 2020, puis 6,3% en 2021 et 2022. Le relèvement du déficit a une incidence significative sur l’endettement public</w:t>
      </w:r>
      <w:r w:rsidRPr="00913D81">
        <w:rPr>
          <w:rStyle w:val="Appelnotedebasdep"/>
          <w:rFonts w:ascii="Tw Cen MT" w:eastAsia="Tahoma" w:hAnsi="Tw Cen MT" w:cs="Arial"/>
          <w:w w:val="105"/>
        </w:rPr>
        <w:footnoteReference w:id="5"/>
      </w:r>
      <w:r w:rsidRPr="00913D81">
        <w:rPr>
          <w:rFonts w:ascii="Tw Cen MT" w:eastAsia="Tahoma" w:hAnsi="Tw Cen MT" w:cs="Arial"/>
          <w:w w:val="105"/>
        </w:rPr>
        <w:t xml:space="preserve">. Sa valeur en 2022 rapportée au PIB avoisine 67%, soit 3 points de pourcentage de moins par rapport au taux plafond de 70% retenu dans le cadre de la surveillance multilatérale de l’UEMOA. L’accroissement du déficit budgétaire et celui du taux d’endettement qui est son corolaire sont en partie dus aux subventions destinées à stabiliser les prix de l’énergie et des denrées alimentaires, aux filets sociaux et à la revalorisation des salaires des agents de la fonction publique opérée en 2022. </w:t>
      </w:r>
    </w:p>
    <w:p w14:paraId="64D866D7" w14:textId="6386907C" w:rsidR="004A5ADB" w:rsidRDefault="005D7A52" w:rsidP="005D7A52">
      <w:pPr>
        <w:pStyle w:val="Normalweb"/>
        <w:shd w:val="clear" w:color="auto" w:fill="FFFFFF"/>
        <w:spacing w:before="0" w:beforeAutospacing="0" w:after="120" w:afterAutospacing="0" w:line="276" w:lineRule="auto"/>
        <w:ind w:right="57"/>
        <w:rPr>
          <w:rFonts w:ascii="Tw Cen MT" w:eastAsia="Tahoma" w:hAnsi="Tw Cen MT" w:cs="Arial"/>
          <w:w w:val="105"/>
        </w:rPr>
      </w:pPr>
      <w:r w:rsidRPr="00913D81">
        <w:rPr>
          <w:rFonts w:ascii="Tw Cen MT" w:eastAsia="Tahoma" w:hAnsi="Tw Cen MT" w:cs="Arial"/>
          <w:w w:val="105"/>
        </w:rPr>
        <w:t>En définitive, il faut dire que la pandémie de la Covid-19 et les crises qui l’ayant succédé ont perturbé la trajectoire de l’économie sénégalaise, bien que celle-ci ait été soutenue par les mesures prises par l’Etat dont notamment le «</w:t>
      </w:r>
      <w:r w:rsidRPr="00913D81">
        <w:rPr>
          <w:rFonts w:ascii="Arial" w:eastAsia="Tahoma" w:hAnsi="Arial" w:cs="Arial"/>
          <w:w w:val="105"/>
        </w:rPr>
        <w:t> </w:t>
      </w:r>
      <w:r w:rsidRPr="00913D81">
        <w:rPr>
          <w:rFonts w:ascii="Tw Cen MT" w:eastAsia="Tahoma" w:hAnsi="Tw Cen MT" w:cs="Arial"/>
          <w:w w:val="105"/>
        </w:rPr>
        <w:t>plan de r</w:t>
      </w:r>
      <w:r w:rsidRPr="00913D81">
        <w:rPr>
          <w:rFonts w:ascii="Tw Cen MT" w:eastAsia="Tahoma" w:hAnsi="Tw Cen MT" w:cs="Tw Cen MT"/>
          <w:w w:val="105"/>
        </w:rPr>
        <w:t>é</w:t>
      </w:r>
      <w:r w:rsidRPr="00913D81">
        <w:rPr>
          <w:rFonts w:ascii="Tw Cen MT" w:eastAsia="Tahoma" w:hAnsi="Tw Cen MT" w:cs="Arial"/>
          <w:w w:val="105"/>
        </w:rPr>
        <w:t>silience économique et sociale</w:t>
      </w:r>
      <w:r w:rsidRPr="00913D81">
        <w:rPr>
          <w:rFonts w:ascii="Arial" w:eastAsia="Tahoma" w:hAnsi="Arial" w:cs="Arial"/>
          <w:w w:val="105"/>
        </w:rPr>
        <w:t> </w:t>
      </w:r>
      <w:r w:rsidRPr="00913D81">
        <w:rPr>
          <w:rFonts w:ascii="Tw Cen MT" w:eastAsia="Tahoma" w:hAnsi="Tw Cen MT" w:cs="Tw Cen MT"/>
          <w:w w:val="105"/>
        </w:rPr>
        <w:t>»</w:t>
      </w:r>
      <w:r w:rsidRPr="00913D81">
        <w:rPr>
          <w:rFonts w:ascii="Tw Cen MT" w:eastAsia="Tahoma" w:hAnsi="Tw Cen MT" w:cs="Arial"/>
          <w:w w:val="105"/>
        </w:rPr>
        <w:t xml:space="preserve"> (PRES). Avec les perspectives relatives </w:t>
      </w:r>
      <w:r w:rsidRPr="00913D81">
        <w:rPr>
          <w:rFonts w:ascii="Tw Cen MT" w:eastAsia="Tahoma" w:hAnsi="Tw Cen MT" w:cs="Tw Cen MT"/>
          <w:w w:val="105"/>
        </w:rPr>
        <w:t>à</w:t>
      </w:r>
      <w:r w:rsidRPr="00913D81">
        <w:rPr>
          <w:rFonts w:ascii="Tw Cen MT" w:eastAsia="Tahoma" w:hAnsi="Tw Cen MT" w:cs="Arial"/>
          <w:w w:val="105"/>
        </w:rPr>
        <w:t xml:space="preserve"> l</w:t>
      </w:r>
      <w:r w:rsidRPr="00913D81">
        <w:rPr>
          <w:rFonts w:ascii="Tw Cen MT" w:eastAsia="Tahoma" w:hAnsi="Tw Cen MT" w:cs="Tw Cen MT"/>
          <w:w w:val="105"/>
        </w:rPr>
        <w:t>’</w:t>
      </w:r>
      <w:r w:rsidRPr="00913D81">
        <w:rPr>
          <w:rFonts w:ascii="Tw Cen MT" w:eastAsia="Tahoma" w:hAnsi="Tw Cen MT" w:cs="Arial"/>
          <w:w w:val="105"/>
        </w:rPr>
        <w:t>exploitation du p</w:t>
      </w:r>
      <w:r w:rsidRPr="00913D81">
        <w:rPr>
          <w:rFonts w:ascii="Tw Cen MT" w:eastAsia="Tahoma" w:hAnsi="Tw Cen MT" w:cs="Tw Cen MT"/>
          <w:w w:val="105"/>
        </w:rPr>
        <w:t>é</w:t>
      </w:r>
      <w:r w:rsidRPr="00913D81">
        <w:rPr>
          <w:rFonts w:ascii="Tw Cen MT" w:eastAsia="Tahoma" w:hAnsi="Tw Cen MT" w:cs="Arial"/>
          <w:w w:val="105"/>
        </w:rPr>
        <w:t xml:space="preserve">trole et du gaz </w:t>
      </w:r>
      <w:r w:rsidRPr="00913D81">
        <w:rPr>
          <w:rFonts w:ascii="Tw Cen MT" w:eastAsia="Tahoma" w:hAnsi="Tw Cen MT" w:cs="Tw Cen MT"/>
          <w:w w:val="105"/>
        </w:rPr>
        <w:t>à</w:t>
      </w:r>
      <w:r w:rsidRPr="00913D81">
        <w:rPr>
          <w:rFonts w:ascii="Tw Cen MT" w:eastAsia="Tahoma" w:hAnsi="Tw Cen MT" w:cs="Arial"/>
          <w:w w:val="105"/>
        </w:rPr>
        <w:t xml:space="preserve"> partir de 2023, les indicateurs macro</w:t>
      </w:r>
      <w:r w:rsidRPr="00913D81">
        <w:rPr>
          <w:rFonts w:ascii="Tw Cen MT" w:eastAsia="Tahoma" w:hAnsi="Tw Cen MT" w:cs="Tw Cen MT"/>
          <w:w w:val="105"/>
        </w:rPr>
        <w:t>é</w:t>
      </w:r>
      <w:r w:rsidRPr="00913D81">
        <w:rPr>
          <w:rFonts w:ascii="Tw Cen MT" w:eastAsia="Tahoma" w:hAnsi="Tw Cen MT" w:cs="Arial"/>
          <w:w w:val="105"/>
        </w:rPr>
        <w:t>conomiques sont projet</w:t>
      </w:r>
      <w:r w:rsidRPr="00913D81">
        <w:rPr>
          <w:rFonts w:ascii="Tw Cen MT" w:eastAsia="Tahoma" w:hAnsi="Tw Cen MT" w:cs="Tw Cen MT"/>
          <w:w w:val="105"/>
        </w:rPr>
        <w:t>é</w:t>
      </w:r>
      <w:r w:rsidRPr="00913D81">
        <w:rPr>
          <w:rFonts w:ascii="Tw Cen MT" w:eastAsia="Tahoma" w:hAnsi="Tw Cen MT" w:cs="Arial"/>
          <w:w w:val="105"/>
        </w:rPr>
        <w:t>s au vert, avec un taux de croissance projet</w:t>
      </w:r>
      <w:r w:rsidRPr="00913D81">
        <w:rPr>
          <w:rFonts w:ascii="Tw Cen MT" w:eastAsia="Tahoma" w:hAnsi="Tw Cen MT" w:cs="Tw Cen MT"/>
          <w:w w:val="105"/>
        </w:rPr>
        <w:t>é</w:t>
      </w:r>
      <w:r w:rsidRPr="00913D81">
        <w:rPr>
          <w:rFonts w:ascii="Tw Cen MT" w:eastAsia="Tahoma" w:hAnsi="Tw Cen MT" w:cs="Arial"/>
          <w:w w:val="105"/>
        </w:rPr>
        <w:t xml:space="preserve"> </w:t>
      </w:r>
      <w:r w:rsidRPr="00913D81">
        <w:rPr>
          <w:rFonts w:ascii="Tw Cen MT" w:eastAsia="Tahoma" w:hAnsi="Tw Cen MT" w:cs="Tw Cen MT"/>
          <w:w w:val="105"/>
        </w:rPr>
        <w:t>à</w:t>
      </w:r>
      <w:r w:rsidRPr="00913D81">
        <w:rPr>
          <w:rFonts w:ascii="Tw Cen MT" w:eastAsia="Tahoma" w:hAnsi="Tw Cen MT" w:cs="Arial"/>
          <w:w w:val="105"/>
        </w:rPr>
        <w:t xml:space="preserve"> 10,1%</w:t>
      </w:r>
      <w:r w:rsidRPr="00913D81">
        <w:rPr>
          <w:rStyle w:val="Appelnotedebasdep"/>
          <w:rFonts w:ascii="Tw Cen MT" w:eastAsia="Tahoma" w:hAnsi="Tw Cen MT" w:cs="Arial"/>
          <w:w w:val="105"/>
        </w:rPr>
        <w:footnoteReference w:id="6"/>
      </w:r>
      <w:r w:rsidRPr="00913D81">
        <w:rPr>
          <w:rFonts w:ascii="Tw Cen MT" w:eastAsia="Tahoma" w:hAnsi="Tw Cen MT" w:cs="Arial"/>
          <w:w w:val="105"/>
        </w:rPr>
        <w:t xml:space="preserve"> en 2023. Toutefois, pour que la relance économique soit durable et inclusive, le pays gagnerait à approfondir et accélérer la mise en œuvre des réformes et programmes phares du PSE, notamment dans les domaines sanitaires, agricoles, industriels, sans oublier l’éducation, la formation professionnelle et la recherche et développement</w:t>
      </w:r>
      <w:r w:rsidR="004A5ADB">
        <w:rPr>
          <w:rFonts w:ascii="Tw Cen MT" w:eastAsia="Tahoma" w:hAnsi="Tw Cen MT" w:cs="Arial"/>
          <w:w w:val="105"/>
        </w:rPr>
        <w:t xml:space="preserve">. </w:t>
      </w:r>
    </w:p>
    <w:p w14:paraId="5CEE2B68" w14:textId="75D16A86" w:rsidR="004A5ADB" w:rsidRDefault="005C3570" w:rsidP="00901D8C">
      <w:pPr>
        <w:pStyle w:val="Titre4"/>
        <w:rPr>
          <w:rFonts w:eastAsia="Times New Roman"/>
        </w:rPr>
      </w:pPr>
      <w:bookmarkStart w:id="35" w:name="_Toc134287595"/>
      <w:bookmarkStart w:id="36" w:name="_Toc135140175"/>
      <w:r>
        <w:t>I</w:t>
      </w:r>
      <w:r w:rsidR="005D7A52">
        <w:t>II.2.1</w:t>
      </w:r>
      <w:r>
        <w:t xml:space="preserve">. </w:t>
      </w:r>
      <w:r w:rsidR="004A5ADB">
        <w:t>Capacités productives</w:t>
      </w:r>
      <w:bookmarkEnd w:id="35"/>
      <w:bookmarkEnd w:id="36"/>
    </w:p>
    <w:p w14:paraId="32BB8FED" w14:textId="77777777" w:rsidR="00E10E19" w:rsidRPr="00913D81" w:rsidRDefault="00E10E19" w:rsidP="00E10E19">
      <w:pPr>
        <w:ind w:right="57"/>
        <w:rPr>
          <w:rFonts w:cs="Arial"/>
          <w:w w:val="105"/>
          <w:szCs w:val="24"/>
        </w:rPr>
      </w:pPr>
      <w:r w:rsidRPr="00913D81">
        <w:rPr>
          <w:rFonts w:cs="Arial"/>
          <w:b/>
          <w:bCs/>
          <w:w w:val="105"/>
          <w:szCs w:val="24"/>
        </w:rPr>
        <w:t>La capacité productive</w:t>
      </w:r>
      <w:r w:rsidRPr="00913D81">
        <w:rPr>
          <w:rFonts w:cs="Arial"/>
          <w:w w:val="105"/>
          <w:szCs w:val="24"/>
        </w:rPr>
        <w:t xml:space="preserve"> se définie comme étant les ressources productives, les capacités entrepreneuriales et les liens de productions qui, ensemble, déterminent la capacité d’un pays à produire des biens et services pour accroitre sa croissance économique et réduire la pauvreté. L’indice des capacités productives, quant à lui, évalue la performance d’un pays en termes de capacités de production sur une échelle de 1 à 100. Il renseigne sur l’efficacité des politiques publiques et des stratégies ainsi que sur les lacunes et limites existantes. C’est un outil d’aide aux gouvernements à mieux formuler et mettre en œuvre leurs politiques et faire le bilan de leurs réalisations.</w:t>
      </w:r>
    </w:p>
    <w:p w14:paraId="12049528" w14:textId="608D4C4A" w:rsidR="004A5ADB" w:rsidRDefault="00E10E19" w:rsidP="00E10E19">
      <w:pPr>
        <w:ind w:right="57"/>
        <w:rPr>
          <w:rFonts w:cs="Arial"/>
          <w:w w:val="105"/>
          <w:szCs w:val="24"/>
        </w:rPr>
      </w:pPr>
      <w:r w:rsidRPr="00913D81">
        <w:rPr>
          <w:rFonts w:cs="Arial"/>
          <w:w w:val="105"/>
          <w:szCs w:val="24"/>
        </w:rPr>
        <w:t>Il se base sur les résultats obtenus dans chacune des huit catégories que sont l’énergie, le capital humain, les TIC, les institutions, le capital naturel, le secteur privé, le changement structurel et les transports</w:t>
      </w:r>
      <w:r w:rsidR="004A5ADB">
        <w:rPr>
          <w:rFonts w:cs="Arial"/>
          <w:w w:val="105"/>
          <w:szCs w:val="24"/>
        </w:rPr>
        <w:t>.</w:t>
      </w:r>
    </w:p>
    <w:p w14:paraId="54DADA59" w14:textId="066E699E" w:rsidR="004A5ADB" w:rsidRPr="001F5399" w:rsidRDefault="001F5399" w:rsidP="001F5399">
      <w:pPr>
        <w:pStyle w:val="Lgende"/>
        <w:keepNext/>
        <w:spacing w:after="100" w:line="276" w:lineRule="auto"/>
        <w:rPr>
          <w:rFonts w:ascii="Tw Cen MT" w:hAnsi="Tw Cen MT" w:cs="Arial"/>
          <w:i w:val="0"/>
          <w:color w:val="auto"/>
          <w:sz w:val="24"/>
          <w:szCs w:val="24"/>
        </w:rPr>
      </w:pPr>
      <w:bookmarkStart w:id="37" w:name="_Toc134226404"/>
      <w:bookmarkStart w:id="38" w:name="_Toc135140208"/>
      <w:r>
        <w:rPr>
          <w:rFonts w:cs="Arial"/>
          <w:noProof/>
          <w:szCs w:val="24"/>
          <w:bdr w:val="single" w:sz="4" w:space="0" w:color="auto" w:frame="1"/>
        </w:rPr>
        <w:drawing>
          <wp:anchor distT="0" distB="0" distL="114300" distR="114300" simplePos="0" relativeHeight="251805696" behindDoc="0" locked="0" layoutInCell="1" allowOverlap="1" wp14:anchorId="572F0624" wp14:editId="05CBF70B">
            <wp:simplePos x="0" y="0"/>
            <wp:positionH relativeFrom="margin">
              <wp:align>left</wp:align>
            </wp:positionH>
            <wp:positionV relativeFrom="paragraph">
              <wp:posOffset>327641</wp:posOffset>
            </wp:positionV>
            <wp:extent cx="5731510" cy="1673225"/>
            <wp:effectExtent l="0" t="0" r="2540" b="3175"/>
            <wp:wrapSquare wrapText="bothSides"/>
            <wp:docPr id="25" name="Graphique 25">
              <a:extLst xmlns:a="http://schemas.openxmlformats.org/drawingml/2006/main">
                <a:ext uri="{FF2B5EF4-FFF2-40B4-BE49-F238E27FC236}">
                  <a16:creationId xmlns:lc="http://schemas.openxmlformats.org/drawingml/2006/lockedCanva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2E7AB153-6A94-440F-ADB0-2292BA4E1B4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V relativeFrom="margin">
              <wp14:pctHeight>0</wp14:pctHeight>
            </wp14:sizeRelV>
          </wp:anchor>
        </w:drawing>
      </w:r>
      <w:r w:rsidR="004A5ADB" w:rsidRPr="001F5399">
        <w:rPr>
          <w:rFonts w:ascii="Tw Cen MT" w:hAnsi="Tw Cen MT" w:cs="Arial"/>
          <w:b/>
          <w:bCs/>
          <w:i w:val="0"/>
          <w:color w:val="auto"/>
          <w:sz w:val="24"/>
          <w:szCs w:val="24"/>
          <w:u w:val="single"/>
        </w:rPr>
        <w:t xml:space="preserve">Graphique </w:t>
      </w:r>
      <w:r w:rsidR="004A5ADB" w:rsidRPr="001F5399">
        <w:rPr>
          <w:i w:val="0"/>
        </w:rPr>
        <w:fldChar w:fldCharType="begin"/>
      </w:r>
      <w:r w:rsidR="004A5ADB" w:rsidRPr="001F5399">
        <w:rPr>
          <w:rFonts w:ascii="Tw Cen MT" w:hAnsi="Tw Cen MT" w:cs="Arial"/>
          <w:b/>
          <w:bCs/>
          <w:i w:val="0"/>
          <w:color w:val="auto"/>
          <w:sz w:val="24"/>
          <w:szCs w:val="24"/>
          <w:u w:val="single"/>
        </w:rPr>
        <w:instrText xml:space="preserve"> SEQ Graphique \* ARABIC </w:instrText>
      </w:r>
      <w:r w:rsidR="004A5ADB" w:rsidRPr="001F5399">
        <w:rPr>
          <w:i w:val="0"/>
        </w:rPr>
        <w:fldChar w:fldCharType="separate"/>
      </w:r>
      <w:r w:rsidR="004A5ADB" w:rsidRPr="001F5399">
        <w:rPr>
          <w:rFonts w:ascii="Tw Cen MT" w:hAnsi="Tw Cen MT" w:cs="Arial"/>
          <w:b/>
          <w:bCs/>
          <w:i w:val="0"/>
          <w:noProof/>
          <w:color w:val="auto"/>
          <w:sz w:val="24"/>
          <w:szCs w:val="24"/>
          <w:u w:val="single"/>
        </w:rPr>
        <w:t>3</w:t>
      </w:r>
      <w:r w:rsidR="004A5ADB" w:rsidRPr="001F5399">
        <w:rPr>
          <w:i w:val="0"/>
        </w:rPr>
        <w:fldChar w:fldCharType="end"/>
      </w:r>
      <w:r w:rsidR="004A5ADB" w:rsidRPr="001F5399">
        <w:rPr>
          <w:rFonts w:ascii="Tw Cen MT" w:hAnsi="Tw Cen MT" w:cs="Arial"/>
          <w:i w:val="0"/>
          <w:color w:val="auto"/>
          <w:sz w:val="24"/>
          <w:szCs w:val="24"/>
        </w:rPr>
        <w:t>: Indice de capacités productives en 2018</w:t>
      </w:r>
      <w:bookmarkEnd w:id="37"/>
      <w:bookmarkEnd w:id="38"/>
    </w:p>
    <w:p w14:paraId="18A1DA6C" w14:textId="77777777" w:rsidR="001F5399" w:rsidRPr="001F5399" w:rsidRDefault="001F5399" w:rsidP="001F5399">
      <w:pPr>
        <w:spacing w:before="120" w:after="0"/>
        <w:ind w:right="57"/>
        <w:rPr>
          <w:rFonts w:cs="Arial"/>
          <w:w w:val="105"/>
          <w:sz w:val="12"/>
          <w:szCs w:val="12"/>
          <w:u w:val="single"/>
        </w:rPr>
      </w:pPr>
    </w:p>
    <w:p w14:paraId="6AF778B9" w14:textId="73B87EB7" w:rsidR="004A5ADB" w:rsidRPr="009F58B2" w:rsidRDefault="004A5ADB" w:rsidP="009F58B2">
      <w:pPr>
        <w:spacing w:after="100" w:afterAutospacing="1"/>
        <w:ind w:right="57"/>
        <w:rPr>
          <w:rFonts w:cs="Arial"/>
          <w:b/>
          <w:i/>
          <w:sz w:val="20"/>
          <w:szCs w:val="20"/>
        </w:rPr>
      </w:pPr>
      <w:r w:rsidRPr="009F58B2">
        <w:rPr>
          <w:rFonts w:cs="Arial"/>
          <w:b/>
          <w:i/>
          <w:w w:val="105"/>
          <w:sz w:val="20"/>
          <w:szCs w:val="20"/>
          <w:u w:val="single"/>
        </w:rPr>
        <w:t>Source</w:t>
      </w:r>
      <w:r w:rsidRPr="009F58B2">
        <w:rPr>
          <w:rFonts w:cs="Arial"/>
          <w:b/>
          <w:i/>
          <w:w w:val="105"/>
          <w:sz w:val="20"/>
          <w:szCs w:val="20"/>
        </w:rPr>
        <w:t xml:space="preserve"> </w:t>
      </w:r>
      <w:r w:rsidRPr="009F58B2">
        <w:rPr>
          <w:rFonts w:cs="Arial"/>
          <w:i/>
          <w:w w:val="105"/>
          <w:sz w:val="20"/>
          <w:szCs w:val="20"/>
        </w:rPr>
        <w:t>: CNUCED, 2022</w:t>
      </w:r>
    </w:p>
    <w:p w14:paraId="7736D09D" w14:textId="77777777" w:rsidR="00613DF6" w:rsidRPr="00913D81" w:rsidRDefault="00613DF6" w:rsidP="00A25197">
      <w:pPr>
        <w:keepNext/>
        <w:keepLines/>
        <w:ind w:right="57"/>
        <w:rPr>
          <w:rFonts w:cs="Arial"/>
          <w:w w:val="105"/>
          <w:szCs w:val="24"/>
        </w:rPr>
      </w:pPr>
      <w:r w:rsidRPr="00913D81">
        <w:rPr>
          <w:rFonts w:cs="Arial"/>
          <w:w w:val="105"/>
          <w:szCs w:val="24"/>
        </w:rPr>
        <w:lastRenderedPageBreak/>
        <w:t>Selon la CNUCED, l’indice des capacités productives (PCI) du Sénégal est ressorti globalement à 26,3 en 2018. Ce résultat est principalement porté par le Secteur privé (78,64), puis par les Institutions (51,77) et par le Capital naturel (51,60). L’indice a été fortement dégradé par les secteurs tels que le Transport (9), la Technologie (7,32) et le domaine clé relatif à la Transformation structurelle de l’économie (17,42).</w:t>
      </w:r>
    </w:p>
    <w:p w14:paraId="0CEE1B5D" w14:textId="77777777" w:rsidR="00613DF6" w:rsidRPr="00913D81" w:rsidRDefault="00613DF6" w:rsidP="00A25197">
      <w:pPr>
        <w:keepNext/>
        <w:keepLines/>
        <w:ind w:right="57"/>
        <w:rPr>
          <w:rFonts w:cs="Arial"/>
          <w:w w:val="105"/>
          <w:szCs w:val="24"/>
        </w:rPr>
      </w:pPr>
      <w:r w:rsidRPr="00913D81">
        <w:rPr>
          <w:rFonts w:cs="Arial"/>
          <w:w w:val="105"/>
          <w:szCs w:val="24"/>
        </w:rPr>
        <w:t xml:space="preserve">Il ressort aussi que des efforts restent à faire dans le secteur de l’Energie (24,23) et dans le domaine du Capital humain (39,20) pour soutenir la capacité de production du pays, de sorte à atteindre une croissance durable et inclusive (hausse du PIB et du PIB par tête). Ces résultats, en somme, traduisent une faible capacité de l’appareil productif national. </w:t>
      </w:r>
    </w:p>
    <w:p w14:paraId="259C69DF" w14:textId="77777777" w:rsidR="00613DF6" w:rsidRPr="00913D81" w:rsidRDefault="00613DF6" w:rsidP="00A25197">
      <w:pPr>
        <w:keepNext/>
        <w:keepLines/>
        <w:ind w:right="57"/>
        <w:rPr>
          <w:rFonts w:cs="Arial"/>
          <w:w w:val="105"/>
          <w:szCs w:val="24"/>
        </w:rPr>
      </w:pPr>
      <w:r w:rsidRPr="00913D81">
        <w:rPr>
          <w:rFonts w:cs="Arial"/>
          <w:b/>
          <w:bCs/>
          <w:w w:val="105"/>
          <w:szCs w:val="24"/>
        </w:rPr>
        <w:t>En termes de contribution sectorielle,</w:t>
      </w:r>
      <w:r w:rsidRPr="00913D81">
        <w:rPr>
          <w:rFonts w:cs="Arial"/>
          <w:w w:val="105"/>
          <w:szCs w:val="24"/>
        </w:rPr>
        <w:t xml:space="preserve"> le secteur primaire, notamment la branche agricole qui doit impulser l’industrie, est caractérisée ces dernières années par une baisse de sa valeur ajoutée au profit des secteurs secondaire et tertiaire alors qu’il emploie plus de la moitié de la population active.  De plus la majorité des entreprises transformatrices de produits agricoles dans le secteur industriel au Sénégal sont des Pme confrontées à des déficits de financement, à des exigences de normes d’exportations et à la concurrence intra-zonale. </w:t>
      </w:r>
    </w:p>
    <w:p w14:paraId="7C96547E" w14:textId="77777777" w:rsidR="00613DF6" w:rsidRPr="00913D81" w:rsidRDefault="00613DF6" w:rsidP="00A25197">
      <w:pPr>
        <w:keepNext/>
        <w:keepLines/>
        <w:ind w:right="57"/>
        <w:rPr>
          <w:rFonts w:cs="Arial"/>
          <w:w w:val="105"/>
          <w:szCs w:val="24"/>
        </w:rPr>
      </w:pPr>
      <w:r w:rsidRPr="00913D81">
        <w:rPr>
          <w:rFonts w:cs="Arial"/>
          <w:w w:val="105"/>
          <w:szCs w:val="24"/>
        </w:rPr>
        <w:t xml:space="preserve">En dépit des efforts fournis par l’Etat avec un financement de 8,8% du cout total du PAP2A et des projets tels que le développement des zones économiques spéciales, des financements accordés aux entrepreneurs provenant des investissements nationaux et internationaux, le secteur éprouve d’énormes difficultés.  Ces dernières sont liées à une part importante d’exploitations familiales qui combinent des cultures de rente et des cultures vivrières de subsistance qui n’arrivent pas à booster les exportations.  Il est aussi confronté aux fluctuations du marché imputables aux chocs extérieurs, à la vétusté du matériel agricole, à la dégradation des sols et du capital semencier, à la baisse de la pluviométrie et aux changements climatiques. </w:t>
      </w:r>
    </w:p>
    <w:p w14:paraId="2E3466BA" w14:textId="77777777" w:rsidR="00613DF6" w:rsidRPr="00913D81" w:rsidRDefault="00613DF6" w:rsidP="00A25197">
      <w:pPr>
        <w:keepNext/>
        <w:keepLines/>
        <w:ind w:right="57"/>
        <w:rPr>
          <w:rFonts w:cs="Arial"/>
          <w:w w:val="105"/>
          <w:szCs w:val="24"/>
        </w:rPr>
      </w:pPr>
      <w:r w:rsidRPr="00913D81">
        <w:rPr>
          <w:rFonts w:cs="Arial"/>
          <w:w w:val="105"/>
          <w:szCs w:val="24"/>
        </w:rPr>
        <w:t xml:space="preserve">Au niveau de la CEDEAO, plusieurs programmes sont mis en œuvre pour booster le secteur agricole, notamment le </w:t>
      </w:r>
      <w:r w:rsidRPr="00913D81">
        <w:rPr>
          <w:rFonts w:cs="Arial"/>
          <w:szCs w:val="24"/>
        </w:rPr>
        <w:t xml:space="preserve">Programme Régional d’Investissement Agricole (PRIA) ; le </w:t>
      </w:r>
      <w:r w:rsidRPr="00913D81">
        <w:rPr>
          <w:rFonts w:cs="Arial"/>
          <w:w w:val="105"/>
          <w:szCs w:val="24"/>
        </w:rPr>
        <w:t>Programme régional d’Investissement agricole et de Sécurité alimentaire et nutritionnelle (PRIASAN) qui</w:t>
      </w:r>
      <w:r w:rsidRPr="00913D81">
        <w:rPr>
          <w:rFonts w:cs="Arial"/>
          <w:szCs w:val="24"/>
        </w:rPr>
        <w:t xml:space="preserve"> fédère les priorités régionales d’investissements et de reformes des politiques et</w:t>
      </w:r>
      <w:r w:rsidRPr="00913D81">
        <w:rPr>
          <w:rFonts w:cs="Arial"/>
          <w:w w:val="105"/>
          <w:szCs w:val="24"/>
        </w:rPr>
        <w:t xml:space="preserve"> le Programme National d’Investissements Agricoles (PNIA) articulé au PRACAS qui traduit les priorités agricoles du PRIASAN au niveau national. </w:t>
      </w:r>
    </w:p>
    <w:p w14:paraId="2B55B847" w14:textId="77777777" w:rsidR="00613DF6" w:rsidRPr="00913D81" w:rsidRDefault="00613DF6" w:rsidP="00A25197">
      <w:pPr>
        <w:keepNext/>
        <w:keepLines/>
        <w:ind w:right="57"/>
        <w:rPr>
          <w:rFonts w:cs="Arial"/>
          <w:w w:val="105"/>
          <w:szCs w:val="24"/>
        </w:rPr>
      </w:pPr>
      <w:r w:rsidRPr="00913D81">
        <w:rPr>
          <w:rFonts w:cs="Arial"/>
          <w:b/>
          <w:bCs/>
          <w:w w:val="105"/>
          <w:szCs w:val="24"/>
        </w:rPr>
        <w:t>Dans le domaine de l’industrialisation,</w:t>
      </w:r>
      <w:r w:rsidRPr="00913D81">
        <w:rPr>
          <w:rFonts w:cs="Arial"/>
          <w:w w:val="105"/>
          <w:szCs w:val="24"/>
        </w:rPr>
        <w:t xml:space="preserve"> le Sénégal s’est doté d’une nouvelle stratégie industrielle pour la période (2021-2035) qui tient compte des implications liées à la crise de la Covid-19, à l’intégration régionale accrue (ZLECAf) et à la quatrième révolution industrielle</w:t>
      </w:r>
      <w:r w:rsidRPr="00913D81">
        <w:rPr>
          <w:rStyle w:val="Appelnotedebasdep"/>
          <w:rFonts w:cs="Arial"/>
          <w:w w:val="105"/>
          <w:szCs w:val="24"/>
        </w:rPr>
        <w:footnoteReference w:id="7"/>
      </w:r>
      <w:r w:rsidRPr="00913D81">
        <w:rPr>
          <w:rFonts w:cs="Arial"/>
          <w:w w:val="105"/>
          <w:szCs w:val="24"/>
        </w:rPr>
        <w:t xml:space="preserve">. </w:t>
      </w:r>
    </w:p>
    <w:p w14:paraId="235B63C7" w14:textId="5C5211AD" w:rsidR="004A5ADB" w:rsidRDefault="00613DF6" w:rsidP="00A25197">
      <w:pPr>
        <w:keepNext/>
        <w:keepLines/>
        <w:ind w:right="57"/>
        <w:rPr>
          <w:rFonts w:cs="Arial"/>
          <w:w w:val="105"/>
          <w:szCs w:val="24"/>
        </w:rPr>
      </w:pPr>
      <w:r w:rsidRPr="00913D81">
        <w:rPr>
          <w:rFonts w:cs="Arial"/>
          <w:w w:val="105"/>
          <w:szCs w:val="24"/>
        </w:rPr>
        <w:t>La Banque africaine de développement (BAD) considère l'industrialisation comme une priorité stratégique et soutient les pays africains dans leur développement industriel à travers sa stratégie "Industrialiser l'Afrique". Son rapport « Indice 2022 de</w:t>
      </w:r>
      <w:r w:rsidR="00307323">
        <w:rPr>
          <w:rFonts w:cs="Arial"/>
          <w:w w:val="105"/>
          <w:szCs w:val="24"/>
        </w:rPr>
        <w:t xml:space="preserve"> </w:t>
      </w:r>
      <w:r w:rsidRPr="00913D81">
        <w:rPr>
          <w:rFonts w:cs="Arial"/>
          <w:w w:val="105"/>
          <w:szCs w:val="24"/>
        </w:rPr>
        <w:t>l’industrialisation en Afrique</w:t>
      </w:r>
      <w:r w:rsidRPr="00913D81">
        <w:rPr>
          <w:rStyle w:val="Appelnotedebasdep"/>
          <w:rFonts w:cs="Arial"/>
          <w:w w:val="105"/>
          <w:szCs w:val="24"/>
        </w:rPr>
        <w:footnoteReference w:id="8"/>
      </w:r>
      <w:r w:rsidRPr="00913D81">
        <w:rPr>
          <w:rFonts w:cs="Arial"/>
          <w:w w:val="105"/>
          <w:szCs w:val="24"/>
        </w:rPr>
        <w:t xml:space="preserve"> » fournit une vue d’ensemble des progrès réalisés par 52 pays africains au cours des onze dernières années en matière de </w:t>
      </w:r>
      <w:r>
        <w:rPr>
          <w:rFonts w:cs="Arial"/>
          <w:w w:val="105"/>
          <w:szCs w:val="24"/>
        </w:rPr>
        <w:t>développement industriel</w:t>
      </w:r>
      <w:r w:rsidR="004A5ADB">
        <w:rPr>
          <w:rFonts w:cs="Arial"/>
          <w:w w:val="105"/>
          <w:szCs w:val="24"/>
        </w:rPr>
        <w:t>.</w:t>
      </w:r>
    </w:p>
    <w:p w14:paraId="70CEE03D" w14:textId="4437D0C1" w:rsidR="0015479F" w:rsidRPr="0015479F" w:rsidRDefault="00FC2505" w:rsidP="0015479F">
      <w:pPr>
        <w:pStyle w:val="Lgende"/>
        <w:spacing w:after="100"/>
        <w:rPr>
          <w:rFonts w:ascii="Tw Cen MT" w:hAnsi="Tw Cen MT" w:cs="Arial"/>
          <w:bCs/>
          <w:i w:val="0"/>
          <w:color w:val="auto"/>
          <w:sz w:val="24"/>
          <w:szCs w:val="24"/>
        </w:rPr>
      </w:pPr>
      <w:bookmarkStart w:id="39" w:name="_Toc134226405"/>
      <w:bookmarkStart w:id="40" w:name="_Toc135140209"/>
      <w:r>
        <w:rPr>
          <w:rFonts w:ascii="Tahoma" w:hAnsi="Tahoma" w:cs="Tahoma"/>
          <w:noProof/>
          <w:sz w:val="22"/>
        </w:rPr>
        <w:lastRenderedPageBreak/>
        <w:drawing>
          <wp:anchor distT="0" distB="0" distL="114300" distR="114300" simplePos="0" relativeHeight="251807744" behindDoc="0" locked="0" layoutInCell="1" allowOverlap="1" wp14:anchorId="6BEE002D" wp14:editId="21628ECD">
            <wp:simplePos x="0" y="0"/>
            <wp:positionH relativeFrom="margin">
              <wp:align>left</wp:align>
            </wp:positionH>
            <wp:positionV relativeFrom="paragraph">
              <wp:posOffset>277339</wp:posOffset>
            </wp:positionV>
            <wp:extent cx="5636260" cy="3579495"/>
            <wp:effectExtent l="0" t="0" r="2540" b="1905"/>
            <wp:wrapSquare wrapText="bothSides"/>
            <wp:docPr id="30" name="Graphique 30">
              <a:extLst xmlns:a="http://schemas.openxmlformats.org/drawingml/2006/main">
                <a:ext uri="{FF2B5EF4-FFF2-40B4-BE49-F238E27FC236}">
                  <a16:creationId xmlns:lc="http://schemas.openxmlformats.org/drawingml/2006/lockedCanva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2FCD0F6E-E6E2-5508-E22F-16FFD976054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r w:rsidR="0015479F" w:rsidRPr="0015479F">
        <w:rPr>
          <w:rFonts w:ascii="Tw Cen MT" w:hAnsi="Tw Cen MT" w:cs="Arial"/>
          <w:b/>
          <w:bCs/>
          <w:i w:val="0"/>
          <w:color w:val="auto"/>
          <w:sz w:val="24"/>
          <w:szCs w:val="24"/>
          <w:u w:val="single"/>
        </w:rPr>
        <w:t xml:space="preserve">Graphique </w:t>
      </w:r>
      <w:r w:rsidR="0015479F" w:rsidRPr="0015479F">
        <w:rPr>
          <w:rFonts w:ascii="Tw Cen MT" w:hAnsi="Tw Cen MT" w:cs="Arial"/>
          <w:b/>
          <w:bCs/>
          <w:i w:val="0"/>
          <w:color w:val="auto"/>
          <w:sz w:val="24"/>
          <w:szCs w:val="24"/>
        </w:rPr>
        <w:fldChar w:fldCharType="begin"/>
      </w:r>
      <w:r w:rsidR="0015479F" w:rsidRPr="0015479F">
        <w:rPr>
          <w:rFonts w:ascii="Tw Cen MT" w:hAnsi="Tw Cen MT" w:cs="Arial"/>
          <w:b/>
          <w:bCs/>
          <w:i w:val="0"/>
          <w:color w:val="auto"/>
          <w:sz w:val="24"/>
          <w:szCs w:val="24"/>
        </w:rPr>
        <w:instrText xml:space="preserve"> SEQ Graphique \* ARABIC </w:instrText>
      </w:r>
      <w:r w:rsidR="0015479F" w:rsidRPr="0015479F">
        <w:rPr>
          <w:rFonts w:ascii="Tw Cen MT" w:hAnsi="Tw Cen MT" w:cs="Arial"/>
          <w:b/>
          <w:bCs/>
          <w:i w:val="0"/>
          <w:color w:val="auto"/>
          <w:sz w:val="24"/>
          <w:szCs w:val="24"/>
        </w:rPr>
        <w:fldChar w:fldCharType="separate"/>
      </w:r>
      <w:r w:rsidR="0015479F" w:rsidRPr="0015479F">
        <w:rPr>
          <w:rFonts w:ascii="Tw Cen MT" w:hAnsi="Tw Cen MT" w:cs="Arial"/>
          <w:b/>
          <w:bCs/>
          <w:i w:val="0"/>
          <w:color w:val="auto"/>
          <w:sz w:val="24"/>
          <w:szCs w:val="24"/>
        </w:rPr>
        <w:t>4</w:t>
      </w:r>
      <w:r w:rsidR="0015479F" w:rsidRPr="0015479F">
        <w:rPr>
          <w:rFonts w:ascii="Tw Cen MT" w:hAnsi="Tw Cen MT" w:cs="Arial"/>
          <w:b/>
          <w:bCs/>
          <w:i w:val="0"/>
          <w:color w:val="auto"/>
          <w:sz w:val="24"/>
          <w:szCs w:val="24"/>
        </w:rPr>
        <w:fldChar w:fldCharType="end"/>
      </w:r>
      <w:r w:rsidR="0015479F" w:rsidRPr="0015479F">
        <w:rPr>
          <w:rFonts w:ascii="Tw Cen MT" w:hAnsi="Tw Cen MT" w:cs="Arial"/>
          <w:b/>
          <w:bCs/>
          <w:i w:val="0"/>
          <w:color w:val="auto"/>
          <w:sz w:val="24"/>
          <w:szCs w:val="24"/>
        </w:rPr>
        <w:t xml:space="preserve"> :</w:t>
      </w:r>
      <w:r w:rsidR="0015479F" w:rsidRPr="0015479F">
        <w:rPr>
          <w:rFonts w:ascii="Tw Cen MT" w:hAnsi="Tw Cen MT" w:cs="Arial"/>
          <w:bCs/>
          <w:i w:val="0"/>
          <w:color w:val="auto"/>
          <w:sz w:val="24"/>
          <w:szCs w:val="24"/>
        </w:rPr>
        <w:t xml:space="preserve"> Indice d'industrialisation en Afrique en 2021</w:t>
      </w:r>
      <w:bookmarkEnd w:id="39"/>
      <w:bookmarkEnd w:id="40"/>
    </w:p>
    <w:p w14:paraId="38DD977C" w14:textId="6BAF6EBA" w:rsidR="0015479F" w:rsidRPr="0015479F" w:rsidRDefault="0015479F" w:rsidP="0015479F">
      <w:pPr>
        <w:spacing w:before="120" w:after="0"/>
        <w:ind w:right="57"/>
        <w:rPr>
          <w:rFonts w:cs="Arial"/>
          <w:w w:val="105"/>
          <w:sz w:val="8"/>
          <w:szCs w:val="8"/>
          <w:u w:val="single"/>
        </w:rPr>
      </w:pPr>
    </w:p>
    <w:p w14:paraId="649C3BEC" w14:textId="1D03A215" w:rsidR="004A5ADB" w:rsidRPr="0015479F" w:rsidRDefault="004A5ADB" w:rsidP="007D765C">
      <w:pPr>
        <w:spacing w:before="80" w:after="100" w:afterAutospacing="1"/>
        <w:ind w:right="57"/>
        <w:rPr>
          <w:rFonts w:cs="Arial"/>
          <w:w w:val="105"/>
          <w:sz w:val="20"/>
          <w:szCs w:val="20"/>
        </w:rPr>
      </w:pPr>
      <w:r w:rsidRPr="0023292F">
        <w:rPr>
          <w:rFonts w:cs="Arial"/>
          <w:b/>
          <w:i/>
          <w:w w:val="105"/>
          <w:sz w:val="20"/>
          <w:szCs w:val="20"/>
          <w:u w:val="single"/>
        </w:rPr>
        <w:t>Source :</w:t>
      </w:r>
      <w:r w:rsidRPr="0015479F">
        <w:rPr>
          <w:rFonts w:cs="Arial"/>
          <w:w w:val="105"/>
          <w:sz w:val="20"/>
          <w:szCs w:val="20"/>
        </w:rPr>
        <w:t xml:space="preserve"> BAD, 2022</w:t>
      </w:r>
    </w:p>
    <w:p w14:paraId="7A263C75" w14:textId="77777777" w:rsidR="00307323" w:rsidRPr="00913D81" w:rsidRDefault="00307323" w:rsidP="00307323">
      <w:pPr>
        <w:ind w:right="57"/>
        <w:rPr>
          <w:rFonts w:cs="Arial"/>
          <w:w w:val="105"/>
          <w:szCs w:val="24"/>
        </w:rPr>
      </w:pPr>
      <w:r w:rsidRPr="00913D81">
        <w:rPr>
          <w:rFonts w:cs="Arial"/>
          <w:w w:val="105"/>
          <w:szCs w:val="24"/>
        </w:rPr>
        <w:t xml:space="preserve">L’analyse montre que le Sénégal, avec un score de 0.61, est classé en 2021 au 7ème rang en Afrique des pays les plus industrialisés. Il est devancé par l’Afrique du Sud (0.84), le Maroc (0,83), l’Egypte (0,78), la Tunisie (0,77), Maurice (0,66), et l’Eswatini (0,64). En effet, plusieurs pays africains ont vu leur niveau d’industrialisation s’accroître au cours de la période. Même si le score du Sénégal reste insuffisant, le pays n’est pas à la traîne. Il s’est inscrit dans une dynamique de promotion du développement industriel grâce à l’élaboration d’outils politiques pour soutenir ses industries naissantes et réduire sa dépendance vis-à-vis des importations. Cependant, le sous-indice relatif à la performance a enregistré les plus faibles valeurs au Sénégal et dans les autres pays africains en général. La compétitivité du secteur manufacturier qui dépend largement du secteur primaire freine l’augmentation de la capacité de production et d’exportation. </w:t>
      </w:r>
    </w:p>
    <w:p w14:paraId="00F2D118" w14:textId="779AC798" w:rsidR="004A5ADB" w:rsidRDefault="00307323" w:rsidP="00307323">
      <w:pPr>
        <w:ind w:right="57"/>
        <w:rPr>
          <w:rFonts w:cs="Arial"/>
          <w:w w:val="105"/>
          <w:szCs w:val="24"/>
        </w:rPr>
      </w:pPr>
      <w:r w:rsidRPr="00913D81">
        <w:rPr>
          <w:rFonts w:cs="Arial"/>
          <w:b/>
          <w:bCs/>
          <w:w w:val="105"/>
          <w:szCs w:val="24"/>
        </w:rPr>
        <w:t>En ce qui concerne les investissements directs étrangers (IDE),</w:t>
      </w:r>
      <w:r w:rsidRPr="00913D81">
        <w:rPr>
          <w:rFonts w:cs="Arial"/>
          <w:w w:val="105"/>
          <w:szCs w:val="24"/>
        </w:rPr>
        <w:t xml:space="preserve"> ils sont passés au Sénégal de 403 à 2 232 millions de </w:t>
      </w:r>
      <w:r>
        <w:rPr>
          <w:rFonts w:cs="Arial"/>
          <w:w w:val="105"/>
          <w:szCs w:val="24"/>
        </w:rPr>
        <w:t>dollars US entre 2014 et 2021</w:t>
      </w:r>
      <w:r w:rsidR="004A5ADB">
        <w:rPr>
          <w:rFonts w:cs="Arial"/>
          <w:w w:val="105"/>
          <w:szCs w:val="24"/>
        </w:rPr>
        <w:t xml:space="preserve">. </w:t>
      </w:r>
    </w:p>
    <w:p w14:paraId="57C8FADD" w14:textId="742E9483" w:rsidR="004A5ADB" w:rsidRPr="00C029BA" w:rsidRDefault="004A5ADB" w:rsidP="00C029BA">
      <w:pPr>
        <w:pStyle w:val="Lgende"/>
        <w:keepNext/>
        <w:spacing w:after="100" w:line="276" w:lineRule="auto"/>
        <w:rPr>
          <w:rFonts w:ascii="Tw Cen MT" w:hAnsi="Tw Cen MT" w:cs="Arial"/>
          <w:i w:val="0"/>
          <w:iCs w:val="0"/>
          <w:color w:val="auto"/>
          <w:sz w:val="24"/>
          <w:szCs w:val="24"/>
        </w:rPr>
      </w:pPr>
      <w:bookmarkStart w:id="41" w:name="_Toc134226406"/>
      <w:bookmarkStart w:id="42" w:name="_Toc135140210"/>
      <w:r w:rsidRPr="00C029BA">
        <w:rPr>
          <w:rFonts w:ascii="Tw Cen MT" w:hAnsi="Tw Cen MT" w:cs="Arial"/>
          <w:b/>
          <w:bCs/>
          <w:i w:val="0"/>
          <w:color w:val="auto"/>
          <w:sz w:val="24"/>
          <w:szCs w:val="24"/>
          <w:u w:val="single"/>
        </w:rPr>
        <w:lastRenderedPageBreak/>
        <w:t xml:space="preserve">Graphique </w:t>
      </w:r>
      <w:r w:rsidRPr="00C029BA">
        <w:rPr>
          <w:i w:val="0"/>
        </w:rPr>
        <w:fldChar w:fldCharType="begin"/>
      </w:r>
      <w:r w:rsidRPr="00C029BA">
        <w:rPr>
          <w:rFonts w:ascii="Tw Cen MT" w:hAnsi="Tw Cen MT" w:cs="Arial"/>
          <w:b/>
          <w:bCs/>
          <w:i w:val="0"/>
          <w:color w:val="auto"/>
          <w:sz w:val="24"/>
          <w:szCs w:val="24"/>
          <w:u w:val="single"/>
        </w:rPr>
        <w:instrText xml:space="preserve"> SEQ Graphique \* ARABIC </w:instrText>
      </w:r>
      <w:r w:rsidRPr="00C029BA">
        <w:rPr>
          <w:i w:val="0"/>
        </w:rPr>
        <w:fldChar w:fldCharType="separate"/>
      </w:r>
      <w:r w:rsidRPr="00C029BA">
        <w:rPr>
          <w:rFonts w:ascii="Tw Cen MT" w:hAnsi="Tw Cen MT" w:cs="Arial"/>
          <w:b/>
          <w:bCs/>
          <w:i w:val="0"/>
          <w:noProof/>
          <w:color w:val="auto"/>
          <w:sz w:val="24"/>
          <w:szCs w:val="24"/>
          <w:u w:val="single"/>
        </w:rPr>
        <w:t>5</w:t>
      </w:r>
      <w:r w:rsidRPr="00C029BA">
        <w:rPr>
          <w:i w:val="0"/>
        </w:rPr>
        <w:fldChar w:fldCharType="end"/>
      </w:r>
      <w:r w:rsidR="00C029BA">
        <w:rPr>
          <w:i w:val="0"/>
        </w:rPr>
        <w:t xml:space="preserve"> </w:t>
      </w:r>
      <w:r w:rsidRPr="00C029BA">
        <w:rPr>
          <w:rFonts w:ascii="Tw Cen MT" w:hAnsi="Tw Cen MT" w:cs="Arial"/>
          <w:i w:val="0"/>
          <w:color w:val="auto"/>
          <w:sz w:val="24"/>
          <w:szCs w:val="24"/>
        </w:rPr>
        <w:t xml:space="preserve">: </w:t>
      </w:r>
      <w:r w:rsidRPr="00C029BA">
        <w:rPr>
          <w:rFonts w:ascii="Tw Cen MT" w:hAnsi="Tw Cen MT" w:cs="Arial"/>
          <w:i w:val="0"/>
          <w:iCs w:val="0"/>
          <w:color w:val="auto"/>
          <w:sz w:val="24"/>
          <w:szCs w:val="24"/>
        </w:rPr>
        <w:t>IDE par secteurs en millions de dollars US en 2020 en Afrique</w:t>
      </w:r>
      <w:bookmarkEnd w:id="41"/>
      <w:bookmarkEnd w:id="42"/>
    </w:p>
    <w:p w14:paraId="7301EB0D" w14:textId="77777777" w:rsidR="00C029BA" w:rsidRDefault="004A5ADB" w:rsidP="00C029BA">
      <w:pPr>
        <w:spacing w:before="120" w:after="80"/>
        <w:ind w:right="57"/>
        <w:rPr>
          <w:rFonts w:cs="Arial"/>
          <w:i/>
          <w:w w:val="105"/>
          <w:sz w:val="20"/>
          <w:szCs w:val="20"/>
          <w:u w:val="single"/>
        </w:rPr>
      </w:pPr>
      <w:r>
        <w:rPr>
          <w:rFonts w:cs="Arial"/>
          <w:noProof/>
          <w:szCs w:val="24"/>
          <w:lang w:eastAsia="fr-FR"/>
        </w:rPr>
        <w:drawing>
          <wp:inline distT="0" distB="0" distL="0" distR="0" wp14:anchorId="7D25862E" wp14:editId="55CD1183">
            <wp:extent cx="5786120" cy="3930555"/>
            <wp:effectExtent l="0" t="0" r="5080" b="13335"/>
            <wp:docPr id="24" name="Graphique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44CD8F6" w14:textId="2BA34351" w:rsidR="004A5ADB" w:rsidRPr="00C029BA" w:rsidRDefault="004A5ADB" w:rsidP="00C029BA">
      <w:pPr>
        <w:spacing w:before="120" w:after="80"/>
        <w:ind w:right="57"/>
        <w:rPr>
          <w:rFonts w:cs="Arial"/>
          <w:i/>
          <w:sz w:val="20"/>
          <w:szCs w:val="20"/>
        </w:rPr>
      </w:pPr>
      <w:r w:rsidRPr="00C029BA">
        <w:rPr>
          <w:rFonts w:cs="Arial"/>
          <w:b/>
          <w:i/>
          <w:w w:val="105"/>
          <w:sz w:val="20"/>
          <w:szCs w:val="20"/>
          <w:u w:val="single"/>
        </w:rPr>
        <w:t>Source</w:t>
      </w:r>
      <w:r w:rsidRPr="00C029BA">
        <w:rPr>
          <w:rFonts w:cs="Arial"/>
          <w:b/>
          <w:i/>
          <w:w w:val="105"/>
          <w:sz w:val="20"/>
          <w:szCs w:val="20"/>
        </w:rPr>
        <w:t xml:space="preserve"> :</w:t>
      </w:r>
      <w:r w:rsidRPr="00C029BA">
        <w:rPr>
          <w:rFonts w:cs="Arial"/>
          <w:i/>
          <w:w w:val="105"/>
          <w:sz w:val="20"/>
          <w:szCs w:val="20"/>
        </w:rPr>
        <w:t xml:space="preserve"> EY attractiveness</w:t>
      </w:r>
    </w:p>
    <w:p w14:paraId="232C25B1" w14:textId="239EB956" w:rsidR="004A5ADB" w:rsidRDefault="00307323" w:rsidP="00307323">
      <w:pPr>
        <w:spacing w:after="60"/>
        <w:ind w:right="57"/>
        <w:rPr>
          <w:rFonts w:cs="Arial"/>
          <w:w w:val="105"/>
          <w:szCs w:val="24"/>
        </w:rPr>
      </w:pPr>
      <w:r w:rsidRPr="00913D81">
        <w:rPr>
          <w:rFonts w:cs="Arial"/>
          <w:w w:val="105"/>
          <w:szCs w:val="24"/>
        </w:rPr>
        <w:t>Par contre, en Afrique, une analyse de la répartition par secteur montre que les télécommunications, les sources d’énergie renouvelables, l’énergie, les manufactures de pointe et l’automobile sont les secteurs qui captent le plus d’IDE (20 740 millions de dollars US, so</w:t>
      </w:r>
      <w:r>
        <w:rPr>
          <w:rFonts w:cs="Arial"/>
          <w:w w:val="105"/>
          <w:szCs w:val="24"/>
        </w:rPr>
        <w:t>it 70% des IDE perçus en 2020)</w:t>
      </w:r>
      <w:r w:rsidR="004A5ADB">
        <w:rPr>
          <w:rFonts w:cs="Arial"/>
          <w:w w:val="105"/>
          <w:szCs w:val="24"/>
        </w:rPr>
        <w:t>.</w:t>
      </w:r>
    </w:p>
    <w:p w14:paraId="6FAEC659" w14:textId="6E7311ED" w:rsidR="004A5ADB" w:rsidRPr="00307323" w:rsidRDefault="00307323" w:rsidP="00901D8C">
      <w:pPr>
        <w:pStyle w:val="Titre4"/>
      </w:pPr>
      <w:bookmarkStart w:id="43" w:name="_Toc134287596"/>
      <w:bookmarkStart w:id="44" w:name="_Toc135140176"/>
      <w:r w:rsidRPr="00307323">
        <w:t>III.2.2.</w:t>
      </w:r>
      <w:r w:rsidR="001C6737" w:rsidRPr="00307323">
        <w:t xml:space="preserve"> </w:t>
      </w:r>
      <w:r w:rsidR="004A5ADB" w:rsidRPr="00307323">
        <w:t>Position du Sénégal sur les marchés régionaux</w:t>
      </w:r>
      <w:bookmarkEnd w:id="43"/>
      <w:bookmarkEnd w:id="44"/>
    </w:p>
    <w:p w14:paraId="4CBEC609" w14:textId="576B6069" w:rsidR="004A5ADB" w:rsidRPr="00901D8C" w:rsidRDefault="00307323" w:rsidP="00901D8C">
      <w:pPr>
        <w:pStyle w:val="Titre5"/>
      </w:pPr>
      <w:bookmarkStart w:id="45" w:name="_Toc134287597"/>
      <w:bookmarkStart w:id="46" w:name="_Toc135140177"/>
      <w:r w:rsidRPr="00901D8C">
        <w:t>III.2.2</w:t>
      </w:r>
      <w:r w:rsidR="001C6737" w:rsidRPr="00901D8C">
        <w:t xml:space="preserve">.1. </w:t>
      </w:r>
      <w:r w:rsidR="004A5ADB" w:rsidRPr="00901D8C">
        <w:t>Dynamique des exportations et des importations</w:t>
      </w:r>
      <w:bookmarkEnd w:id="45"/>
      <w:bookmarkEnd w:id="46"/>
    </w:p>
    <w:p w14:paraId="4DC013D9" w14:textId="0BE57711" w:rsidR="004A5ADB" w:rsidRDefault="00307323" w:rsidP="001C6737">
      <w:pPr>
        <w:spacing w:before="120" w:after="100" w:afterAutospacing="1"/>
        <w:ind w:right="57"/>
        <w:rPr>
          <w:rFonts w:cs="Arial"/>
          <w:w w:val="105"/>
          <w:szCs w:val="24"/>
        </w:rPr>
      </w:pPr>
      <w:r w:rsidRPr="00913D81">
        <w:rPr>
          <w:rFonts w:cs="Arial"/>
          <w:w w:val="105"/>
          <w:szCs w:val="24"/>
        </w:rPr>
        <w:t>Le commerce intra régional est un levier important pour accélérer la croissance économique des Etats membres d’une région et améliorer le bien-être des populations. En effet, la densification des échanges intra-communautaires permet de cimenter les liens socio-économiques et politiques entre les Etats membres de la communauté, de renforcer le marché commun, d’accroître les revenus fiscaux des Etats, de créer des opportunités d’emploi et de réduire par cette occasion la pauvreté et le chômage</w:t>
      </w:r>
      <w:r w:rsidR="004A5ADB">
        <w:rPr>
          <w:rFonts w:cs="Arial"/>
          <w:w w:val="105"/>
          <w:szCs w:val="24"/>
        </w:rPr>
        <w:t>.</w:t>
      </w:r>
    </w:p>
    <w:p w14:paraId="5CC637BC" w14:textId="77777777" w:rsidR="004A5ADB" w:rsidRDefault="004A5ADB" w:rsidP="004A5ADB">
      <w:pPr>
        <w:spacing w:before="120" w:after="100" w:afterAutospacing="1"/>
        <w:ind w:left="284" w:right="57" w:firstLine="709"/>
        <w:rPr>
          <w:rFonts w:cs="Arial"/>
          <w:w w:val="105"/>
          <w:szCs w:val="24"/>
        </w:rPr>
      </w:pPr>
    </w:p>
    <w:p w14:paraId="3B550136" w14:textId="77777777" w:rsidR="004A5ADB" w:rsidRDefault="004A5ADB" w:rsidP="004A5ADB">
      <w:pPr>
        <w:spacing w:before="120" w:after="100" w:afterAutospacing="1"/>
        <w:ind w:left="284" w:right="57" w:firstLine="709"/>
        <w:rPr>
          <w:rFonts w:cs="Arial"/>
          <w:w w:val="105"/>
          <w:szCs w:val="24"/>
        </w:rPr>
      </w:pPr>
    </w:p>
    <w:p w14:paraId="471C4D42" w14:textId="77777777" w:rsidR="004A5ADB" w:rsidRDefault="004A5ADB" w:rsidP="004A5ADB">
      <w:pPr>
        <w:spacing w:before="120" w:after="100" w:afterAutospacing="1"/>
        <w:ind w:right="57"/>
        <w:rPr>
          <w:rFonts w:cs="Arial"/>
          <w:w w:val="105"/>
          <w:szCs w:val="24"/>
        </w:rPr>
      </w:pPr>
    </w:p>
    <w:tbl>
      <w:tblPr>
        <w:tblStyle w:val="Grilledutableau"/>
        <w:tblW w:w="9072" w:type="dxa"/>
        <w:tblInd w:w="-5" w:type="dxa"/>
        <w:tblBorders>
          <w:top w:val="dashSmallGap" w:sz="4" w:space="0" w:color="808080" w:themeColor="background1" w:themeShade="80"/>
          <w:left w:val="dashSmallGap" w:sz="4" w:space="0" w:color="808080" w:themeColor="background1" w:themeShade="80"/>
          <w:bottom w:val="dashSmallGap" w:sz="4" w:space="0" w:color="808080" w:themeColor="background1" w:themeShade="80"/>
          <w:right w:val="dashSmallGap" w:sz="4" w:space="0" w:color="808080" w:themeColor="background1" w:themeShade="80"/>
          <w:insideH w:val="dashSmallGap" w:sz="4" w:space="0" w:color="808080" w:themeColor="background1" w:themeShade="80"/>
          <w:insideV w:val="dashSmallGap" w:sz="4" w:space="0" w:color="808080" w:themeColor="background1" w:themeShade="80"/>
        </w:tblBorders>
        <w:tblLayout w:type="fixed"/>
        <w:tblLook w:val="04A0" w:firstRow="1" w:lastRow="0" w:firstColumn="1" w:lastColumn="0" w:noHBand="0" w:noVBand="1"/>
      </w:tblPr>
      <w:tblGrid>
        <w:gridCol w:w="4538"/>
        <w:gridCol w:w="4534"/>
      </w:tblGrid>
      <w:tr w:rsidR="004A5ADB" w14:paraId="48B028A4" w14:textId="77777777" w:rsidTr="001C6737">
        <w:tc>
          <w:tcPr>
            <w:tcW w:w="4538" w:type="dxa"/>
            <w:hideMark/>
          </w:tcPr>
          <w:p w14:paraId="23CCB23F" w14:textId="77777777" w:rsidR="004A5ADB" w:rsidRPr="001C6737" w:rsidRDefault="004A5ADB" w:rsidP="008F3E33">
            <w:pPr>
              <w:pStyle w:val="Lgende"/>
              <w:keepNext/>
              <w:spacing w:after="100" w:line="276" w:lineRule="auto"/>
              <w:rPr>
                <w:rFonts w:ascii="Tw Cen MT" w:hAnsi="Tw Cen MT" w:cs="Arial"/>
                <w:i w:val="0"/>
                <w:color w:val="auto"/>
                <w:sz w:val="24"/>
                <w:szCs w:val="24"/>
              </w:rPr>
            </w:pPr>
            <w:bookmarkStart w:id="47" w:name="_Toc134226407"/>
            <w:bookmarkStart w:id="48" w:name="_Toc135140211"/>
            <w:r w:rsidRPr="001C6737">
              <w:rPr>
                <w:rFonts w:ascii="Tw Cen MT" w:hAnsi="Tw Cen MT" w:cs="Arial"/>
                <w:b/>
                <w:bCs/>
                <w:i w:val="0"/>
                <w:color w:val="auto"/>
                <w:sz w:val="24"/>
                <w:szCs w:val="24"/>
                <w:u w:val="single"/>
              </w:rPr>
              <w:lastRenderedPageBreak/>
              <w:t xml:space="preserve">Graphique </w:t>
            </w:r>
            <w:r w:rsidRPr="001C6737">
              <w:rPr>
                <w:i w:val="0"/>
              </w:rPr>
              <w:fldChar w:fldCharType="begin"/>
            </w:r>
            <w:r w:rsidRPr="001C6737">
              <w:rPr>
                <w:rFonts w:ascii="Tw Cen MT" w:hAnsi="Tw Cen MT" w:cs="Arial"/>
                <w:b/>
                <w:bCs/>
                <w:i w:val="0"/>
                <w:color w:val="auto"/>
                <w:sz w:val="24"/>
                <w:szCs w:val="24"/>
                <w:u w:val="single"/>
              </w:rPr>
              <w:instrText xml:space="preserve"> SEQ Graphique \* ARABIC </w:instrText>
            </w:r>
            <w:r w:rsidRPr="001C6737">
              <w:rPr>
                <w:i w:val="0"/>
              </w:rPr>
              <w:fldChar w:fldCharType="separate"/>
            </w:r>
            <w:r w:rsidRPr="001C6737">
              <w:rPr>
                <w:rFonts w:ascii="Tw Cen MT" w:hAnsi="Tw Cen MT" w:cs="Arial"/>
                <w:b/>
                <w:bCs/>
                <w:i w:val="0"/>
                <w:noProof/>
                <w:color w:val="auto"/>
                <w:sz w:val="24"/>
                <w:szCs w:val="24"/>
                <w:u w:val="single"/>
              </w:rPr>
              <w:t>6</w:t>
            </w:r>
            <w:r w:rsidRPr="001C6737">
              <w:rPr>
                <w:i w:val="0"/>
              </w:rPr>
              <w:fldChar w:fldCharType="end"/>
            </w:r>
            <w:r w:rsidRPr="001C6737">
              <w:rPr>
                <w:rFonts w:ascii="Tw Cen MT" w:hAnsi="Tw Cen MT" w:cs="Arial"/>
                <w:i w:val="0"/>
                <w:color w:val="auto"/>
                <w:sz w:val="24"/>
                <w:szCs w:val="24"/>
              </w:rPr>
              <w:t>: Part des exportations par continent en 2021</w:t>
            </w:r>
            <w:bookmarkEnd w:id="47"/>
            <w:bookmarkEnd w:id="48"/>
          </w:p>
        </w:tc>
        <w:tc>
          <w:tcPr>
            <w:tcW w:w="4534" w:type="dxa"/>
            <w:hideMark/>
          </w:tcPr>
          <w:p w14:paraId="7EDEE97C" w14:textId="77777777" w:rsidR="004A5ADB" w:rsidRPr="001C6737" w:rsidRDefault="004A5ADB" w:rsidP="008F3E33">
            <w:pPr>
              <w:pStyle w:val="Lgende"/>
              <w:keepNext/>
              <w:spacing w:after="100" w:line="276" w:lineRule="auto"/>
              <w:rPr>
                <w:rFonts w:ascii="Tw Cen MT" w:hAnsi="Tw Cen MT" w:cs="Arial"/>
                <w:i w:val="0"/>
                <w:color w:val="auto"/>
                <w:sz w:val="24"/>
                <w:szCs w:val="24"/>
              </w:rPr>
            </w:pPr>
            <w:bookmarkStart w:id="49" w:name="_Toc134226408"/>
            <w:bookmarkStart w:id="50" w:name="_Toc135140212"/>
            <w:r w:rsidRPr="001C6737">
              <w:rPr>
                <w:rFonts w:ascii="Tw Cen MT" w:hAnsi="Tw Cen MT" w:cs="Arial"/>
                <w:b/>
                <w:bCs/>
                <w:i w:val="0"/>
                <w:color w:val="auto"/>
                <w:sz w:val="24"/>
                <w:szCs w:val="24"/>
                <w:u w:val="single"/>
              </w:rPr>
              <w:t xml:space="preserve">Graphique </w:t>
            </w:r>
            <w:r w:rsidRPr="001C6737">
              <w:rPr>
                <w:i w:val="0"/>
              </w:rPr>
              <w:fldChar w:fldCharType="begin"/>
            </w:r>
            <w:r w:rsidRPr="001C6737">
              <w:rPr>
                <w:rFonts w:ascii="Tw Cen MT" w:hAnsi="Tw Cen MT" w:cs="Arial"/>
                <w:b/>
                <w:bCs/>
                <w:i w:val="0"/>
                <w:color w:val="auto"/>
                <w:sz w:val="24"/>
                <w:szCs w:val="24"/>
                <w:u w:val="single"/>
              </w:rPr>
              <w:instrText xml:space="preserve"> SEQ Graphique \* ARABIC </w:instrText>
            </w:r>
            <w:r w:rsidRPr="001C6737">
              <w:rPr>
                <w:i w:val="0"/>
              </w:rPr>
              <w:fldChar w:fldCharType="separate"/>
            </w:r>
            <w:r w:rsidRPr="001C6737">
              <w:rPr>
                <w:rFonts w:ascii="Tw Cen MT" w:hAnsi="Tw Cen MT" w:cs="Arial"/>
                <w:b/>
                <w:bCs/>
                <w:i w:val="0"/>
                <w:noProof/>
                <w:color w:val="auto"/>
                <w:sz w:val="24"/>
                <w:szCs w:val="24"/>
                <w:u w:val="single"/>
              </w:rPr>
              <w:t>7</w:t>
            </w:r>
            <w:r w:rsidRPr="001C6737">
              <w:rPr>
                <w:i w:val="0"/>
              </w:rPr>
              <w:fldChar w:fldCharType="end"/>
            </w:r>
            <w:r w:rsidRPr="001C6737">
              <w:rPr>
                <w:rFonts w:ascii="Tw Cen MT" w:hAnsi="Tw Cen MT" w:cs="Arial"/>
                <w:i w:val="0"/>
                <w:color w:val="auto"/>
                <w:sz w:val="24"/>
                <w:szCs w:val="24"/>
              </w:rPr>
              <w:t>: Part des importations par continent en 2021</w:t>
            </w:r>
            <w:bookmarkEnd w:id="49"/>
            <w:bookmarkEnd w:id="50"/>
          </w:p>
        </w:tc>
      </w:tr>
      <w:tr w:rsidR="004A5ADB" w14:paraId="6AD2BF33" w14:textId="77777777" w:rsidTr="001C6737">
        <w:tc>
          <w:tcPr>
            <w:tcW w:w="4538" w:type="dxa"/>
            <w:hideMark/>
          </w:tcPr>
          <w:p w14:paraId="2913F951" w14:textId="62697A93" w:rsidR="004A5ADB" w:rsidRDefault="004A5ADB">
            <w:pPr>
              <w:spacing w:before="120" w:after="100" w:afterAutospacing="1"/>
              <w:ind w:right="57"/>
              <w:rPr>
                <w:rFonts w:cs="Arial"/>
                <w:w w:val="105"/>
                <w:szCs w:val="24"/>
              </w:rPr>
            </w:pPr>
            <w:r>
              <w:rPr>
                <w:rFonts w:cs="Arial"/>
                <w:noProof/>
                <w:szCs w:val="24"/>
                <w:lang w:eastAsia="fr-FR"/>
              </w:rPr>
              <w:drawing>
                <wp:inline distT="0" distB="0" distL="0" distR="0" wp14:anchorId="23997FA9" wp14:editId="66082B14">
                  <wp:extent cx="2947670" cy="2852420"/>
                  <wp:effectExtent l="0" t="0" r="5080" b="5080"/>
                  <wp:docPr id="23" name="Graphique 23">
                    <a:extLst xmlns:a="http://schemas.openxmlformats.org/drawingml/2006/main">
                      <a:ext uri="{FF2B5EF4-FFF2-40B4-BE49-F238E27FC236}">
                        <a16:creationId xmlns:lc="http://schemas.openxmlformats.org/drawingml/2006/lockedCanva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E7D19189-988B-BAE7-94A5-D59CB79418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534" w:type="dxa"/>
            <w:hideMark/>
          </w:tcPr>
          <w:p w14:paraId="7E5054D1" w14:textId="1BB94923" w:rsidR="004A5ADB" w:rsidRDefault="004A5ADB">
            <w:pPr>
              <w:spacing w:before="120" w:after="100" w:afterAutospacing="1"/>
              <w:ind w:right="57"/>
              <w:rPr>
                <w:rFonts w:cs="Arial"/>
                <w:w w:val="105"/>
                <w:szCs w:val="24"/>
              </w:rPr>
            </w:pPr>
            <w:r>
              <w:rPr>
                <w:rFonts w:cs="Arial"/>
                <w:noProof/>
                <w:szCs w:val="24"/>
                <w:lang w:eastAsia="fr-FR"/>
              </w:rPr>
              <w:drawing>
                <wp:inline distT="0" distB="0" distL="0" distR="0" wp14:anchorId="52C32E11" wp14:editId="56E39596">
                  <wp:extent cx="2850078" cy="2852420"/>
                  <wp:effectExtent l="0" t="0" r="7620" b="5080"/>
                  <wp:docPr id="22" name="Graphique 22">
                    <a:extLst xmlns:a="http://schemas.openxmlformats.org/drawingml/2006/main">
                      <a:ext uri="{FF2B5EF4-FFF2-40B4-BE49-F238E27FC236}">
                        <a16:creationId xmlns:lc="http://schemas.openxmlformats.org/drawingml/2006/lockedCanva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A05A528-451C-21E1-44D3-E5A98BA5C6B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bl>
    <w:p w14:paraId="31FDE94F" w14:textId="77777777" w:rsidR="004A5ADB" w:rsidRPr="001C6737" w:rsidRDefault="004A5ADB" w:rsidP="004A5ADB">
      <w:pPr>
        <w:spacing w:before="120" w:after="100"/>
        <w:ind w:right="57"/>
        <w:rPr>
          <w:rFonts w:eastAsia="Tahoma" w:cs="Tahoma"/>
          <w:i/>
          <w:sz w:val="20"/>
          <w:szCs w:val="20"/>
        </w:rPr>
      </w:pPr>
      <w:r w:rsidRPr="001C6737">
        <w:rPr>
          <w:rFonts w:cs="Arial"/>
          <w:b/>
          <w:i/>
          <w:w w:val="105"/>
          <w:sz w:val="20"/>
          <w:szCs w:val="20"/>
          <w:u w:val="single"/>
        </w:rPr>
        <w:t>Source</w:t>
      </w:r>
      <w:r w:rsidRPr="001C6737">
        <w:rPr>
          <w:rFonts w:cs="Arial"/>
          <w:b/>
          <w:i/>
          <w:w w:val="105"/>
          <w:sz w:val="20"/>
          <w:szCs w:val="20"/>
        </w:rPr>
        <w:t> :</w:t>
      </w:r>
      <w:r w:rsidRPr="001C6737">
        <w:rPr>
          <w:rFonts w:cs="Arial"/>
          <w:i/>
          <w:w w:val="105"/>
          <w:sz w:val="20"/>
          <w:szCs w:val="20"/>
        </w:rPr>
        <w:t xml:space="preserve"> ANSD</w:t>
      </w:r>
    </w:p>
    <w:p w14:paraId="57066200" w14:textId="77777777" w:rsidR="00307323" w:rsidRPr="00913D81" w:rsidRDefault="00307323" w:rsidP="00307323">
      <w:pPr>
        <w:ind w:right="57"/>
        <w:rPr>
          <w:rFonts w:cs="Arial"/>
          <w:szCs w:val="24"/>
        </w:rPr>
      </w:pPr>
      <w:r w:rsidRPr="00913D81">
        <w:rPr>
          <w:rFonts w:cs="Arial"/>
          <w:w w:val="105"/>
          <w:szCs w:val="24"/>
        </w:rPr>
        <w:t>L’analyse de l’orientation des échanges extérieurs montre que l’Afrique est le premier client du Sénégal et son troisième fournisseur. C’est ainsi qu’en 2021, les principales exportations du Sénégal sont dirigées vers l’Afrique (39.9%), l’Europe (28.8%) et l’Asie (20.0%), tandis que les importations proviennent essentiellement d’Europe (49.0) et d’Asie (29.4) et accessoirement d’Afrique (13.4) et des autres continents. En effet, il faut savoir que les exportations extracontinentales sont caractérisées par une forte dépendance vis-à-vis des matières premières, ce qui expose le continent à des chocs externes tels que la demande mondiale et la volatilité des prix des matières premières.</w:t>
      </w:r>
      <w:r w:rsidRPr="00913D81">
        <w:rPr>
          <w:rFonts w:cs="Arial"/>
          <w:szCs w:val="24"/>
        </w:rPr>
        <w:t xml:space="preserve"> </w:t>
      </w:r>
    </w:p>
    <w:p w14:paraId="2AEA7A5C" w14:textId="77777777" w:rsidR="00307323" w:rsidRPr="00913D81" w:rsidRDefault="00307323" w:rsidP="00307323">
      <w:pPr>
        <w:shd w:val="clear" w:color="auto" w:fill="FFFFFF"/>
        <w:ind w:right="57"/>
        <w:rPr>
          <w:rFonts w:cs="Arial"/>
          <w:w w:val="105"/>
          <w:szCs w:val="24"/>
        </w:rPr>
      </w:pPr>
      <w:r w:rsidRPr="00913D81">
        <w:rPr>
          <w:rFonts w:cs="Arial"/>
          <w:w w:val="105"/>
          <w:szCs w:val="24"/>
        </w:rPr>
        <w:t>Selon l’International Trade Centre, l’une des principales contraintes à la hausse du volume des échanges intra-africains est que la gamme des produits exportés et celle des produits importés sont moins en adéquation en Afrique qu’elles ne le sont sur d’autres continents. Cette faible complémentarité du commerce intra-africain tient à la gamme réduite de produits exportés, à la diversification limitée, aux obstacles réglementaires et structurels au commerce et au chevauchement des stratégies commerciales.</w:t>
      </w:r>
    </w:p>
    <w:p w14:paraId="0064E588" w14:textId="77777777" w:rsidR="00307323" w:rsidRPr="00913D81" w:rsidRDefault="00307323" w:rsidP="00307323">
      <w:pPr>
        <w:ind w:right="57"/>
        <w:rPr>
          <w:rFonts w:cs="Arial"/>
          <w:szCs w:val="24"/>
        </w:rPr>
      </w:pPr>
      <w:r w:rsidRPr="00913D81">
        <w:rPr>
          <w:rFonts w:cs="Arial"/>
          <w:w w:val="105"/>
          <w:szCs w:val="24"/>
        </w:rPr>
        <w:t>Au niveau de la CEDEAO, le commerce intra-CEDEAO se déroule avec 15% des exportations qui sont dirigées vers les Etats membres, tandis que seule une part réduite de 5% des importations proviennent de la région.</w:t>
      </w:r>
      <w:r w:rsidRPr="00913D81">
        <w:rPr>
          <w:rFonts w:cs="Arial"/>
          <w:szCs w:val="24"/>
        </w:rPr>
        <w:t xml:space="preserve"> </w:t>
      </w:r>
    </w:p>
    <w:p w14:paraId="39C6382C" w14:textId="77777777" w:rsidR="00307323" w:rsidRPr="00913D81" w:rsidRDefault="00307323" w:rsidP="00307323">
      <w:pPr>
        <w:ind w:right="57"/>
        <w:rPr>
          <w:rFonts w:cs="Arial"/>
          <w:w w:val="105"/>
          <w:szCs w:val="24"/>
        </w:rPr>
      </w:pPr>
      <w:r w:rsidRPr="00913D81">
        <w:rPr>
          <w:rFonts w:cs="Arial"/>
          <w:w w:val="105"/>
          <w:szCs w:val="24"/>
        </w:rPr>
        <w:t>Le Sénégal contribue modestement à l’effort intracontinental en dirigeant 40% de ses exportations vers l’Afrique et en satisfaisant 13% de ses besoins d’importations sur le marché continental. Avec un volume d’exportations chiffré à près de 2.546.000.000 dollars USD, il est classé au 133ème/225 rang mondial des pays exportateurs, au 29ème/54 rang africain et au 6ème/15 rang de la CEDEAO</w:t>
      </w:r>
      <w:r w:rsidRPr="00913D81">
        <w:rPr>
          <w:rStyle w:val="Appelnotedebasdep"/>
          <w:rFonts w:cs="Arial"/>
          <w:w w:val="105"/>
          <w:szCs w:val="24"/>
        </w:rPr>
        <w:footnoteReference w:id="9"/>
      </w:r>
      <w:r w:rsidRPr="00913D81">
        <w:rPr>
          <w:rFonts w:cs="Arial"/>
          <w:w w:val="105"/>
          <w:szCs w:val="24"/>
        </w:rPr>
        <w:t>.</w:t>
      </w:r>
      <w:r w:rsidRPr="00913D81">
        <w:rPr>
          <w:rFonts w:cs="Arial"/>
          <w:szCs w:val="24"/>
        </w:rPr>
        <w:t xml:space="preserve"> </w:t>
      </w:r>
      <w:r w:rsidRPr="00913D81">
        <w:rPr>
          <w:rFonts w:cs="Arial"/>
          <w:w w:val="105"/>
          <w:szCs w:val="24"/>
        </w:rPr>
        <w:t xml:space="preserve">Les Etats membres de la CEDEAO qui </w:t>
      </w:r>
      <w:r w:rsidRPr="00913D81">
        <w:rPr>
          <w:rFonts w:cs="Arial"/>
          <w:w w:val="105"/>
          <w:szCs w:val="24"/>
        </w:rPr>
        <w:lastRenderedPageBreak/>
        <w:t>devancent le Sénégal dans les exportations sont respectivement le Nigéria (54ème), le Ghana (81ème), la Côte d’Ivoire (85ème), le Mali (124ème) et le Burkina Faso (131ème).</w:t>
      </w:r>
    </w:p>
    <w:p w14:paraId="0465B872" w14:textId="77777777" w:rsidR="00307323" w:rsidRPr="00913D81" w:rsidRDefault="00307323" w:rsidP="00307323">
      <w:pPr>
        <w:ind w:right="57"/>
        <w:rPr>
          <w:rFonts w:cs="Arial"/>
          <w:w w:val="105"/>
          <w:szCs w:val="24"/>
        </w:rPr>
      </w:pPr>
      <w:r w:rsidRPr="00913D81">
        <w:rPr>
          <w:rFonts w:cs="Arial"/>
          <w:w w:val="105"/>
          <w:szCs w:val="24"/>
        </w:rPr>
        <w:t>En termes d’importance du volume des importations, le Sénégal, avec des importations équivalentes à 4.668.000.000 dollars US, occupe le 127ème rang mondial, le 22ème rang continental et le 4ème rang au niveau de la CEDEAO. Ici, les cinq champions africains sont l’Afrique du sud (35ème), l’Egypte (46ème), l’Algérie (50ème), le Nigéria (51ème) et le Maroc (58ème). Les seuls Etats membres de la CEDEAO à importer plus que le Sénégal sont le Nigéria (51ème), le Ghana (89ème) et la Côte d’Ivoire (103ème).</w:t>
      </w:r>
    </w:p>
    <w:p w14:paraId="4D61A1B7" w14:textId="77777777" w:rsidR="00307323" w:rsidRPr="00913D81" w:rsidRDefault="00307323" w:rsidP="00307323">
      <w:pPr>
        <w:shd w:val="clear" w:color="auto" w:fill="FFFFFF"/>
        <w:ind w:right="57"/>
        <w:rPr>
          <w:rFonts w:cs="Arial"/>
          <w:w w:val="105"/>
          <w:szCs w:val="24"/>
        </w:rPr>
      </w:pPr>
      <w:r w:rsidRPr="00913D81">
        <w:rPr>
          <w:rFonts w:cs="Arial"/>
          <w:w w:val="105"/>
          <w:szCs w:val="24"/>
        </w:rPr>
        <w:t>Avec l’avènement de la ZLECAf qui entrainera une compétition accrue, laquelle se déplacera de la sphère régionale à celle continentale, la position excédentaire du Sénégal au niveau régional risque d’être compromise. En effet, le démantèlement tarifaire offre des opportunités à des pays tels que le Maroc, la Tunisie et l’Afrique du sud de commercer avec les pays de la CEDEAO. Ce qui expose le Sénégal à une concurrence plus rude sur ses marchés traditionnels. La tâche serait encore plus ardue pour le Sénégal en cas d’entrée en vigueur de l’Accord de Partenariat Economique (APE) avec l’Union européenne.</w:t>
      </w:r>
    </w:p>
    <w:p w14:paraId="18E21D20" w14:textId="0E42380F" w:rsidR="004A5ADB" w:rsidRDefault="00307323" w:rsidP="00307323">
      <w:pPr>
        <w:ind w:right="57"/>
        <w:rPr>
          <w:rFonts w:cs="Arial"/>
          <w:w w:val="105"/>
          <w:szCs w:val="24"/>
        </w:rPr>
      </w:pPr>
      <w:r w:rsidRPr="00913D81">
        <w:rPr>
          <w:rFonts w:cs="Arial"/>
          <w:w w:val="105"/>
          <w:szCs w:val="24"/>
        </w:rPr>
        <w:t xml:space="preserve">On relève, pour le Sénégal comme pour la plupart des pays africains, l’absence d’une politique de positionnement stratégique en adéquation avec les caractéristiques des économies africaines. En effet, les Etats africains encore marqués par leur passé colonial produisent essentiellement pour le commerce extra-communautaire. En outre, il y a </w:t>
      </w:r>
      <w:r>
        <w:rPr>
          <w:rFonts w:cs="Arial"/>
          <w:w w:val="105"/>
          <w:szCs w:val="24"/>
        </w:rPr>
        <w:t>une absence de complémentarité</w:t>
      </w:r>
      <w:r w:rsidR="004A5ADB">
        <w:rPr>
          <w:rFonts w:cs="Arial"/>
          <w:w w:val="105"/>
          <w:szCs w:val="24"/>
        </w:rPr>
        <w:t xml:space="preserve">. </w:t>
      </w:r>
    </w:p>
    <w:p w14:paraId="35841C55" w14:textId="15C14703" w:rsidR="004A5ADB" w:rsidRDefault="00F404BF" w:rsidP="00901D8C">
      <w:pPr>
        <w:pStyle w:val="Titre5"/>
        <w:rPr>
          <w:sz w:val="24"/>
        </w:rPr>
      </w:pPr>
      <w:bookmarkStart w:id="51" w:name="_Toc134287598"/>
      <w:bookmarkStart w:id="52" w:name="_Toc135140178"/>
      <w:r>
        <w:t>III.2.2</w:t>
      </w:r>
      <w:r w:rsidR="00C56789" w:rsidRPr="001C6737">
        <w:t>.</w:t>
      </w:r>
      <w:r w:rsidR="00C56789">
        <w:t>2</w:t>
      </w:r>
      <w:r w:rsidR="00C56789" w:rsidRPr="001C6737">
        <w:t xml:space="preserve">. </w:t>
      </w:r>
      <w:r w:rsidR="004A5ADB">
        <w:t>Diversité de l’offre d’exportation et avantages comparatifs révélés</w:t>
      </w:r>
      <w:bookmarkEnd w:id="51"/>
      <w:bookmarkEnd w:id="52"/>
    </w:p>
    <w:p w14:paraId="242DD9E1" w14:textId="77777777" w:rsidR="00F404BF" w:rsidRPr="00913D81" w:rsidRDefault="00F404BF" w:rsidP="00F404BF">
      <w:pPr>
        <w:shd w:val="clear" w:color="auto" w:fill="FFFFFF"/>
        <w:ind w:right="57"/>
        <w:rPr>
          <w:rFonts w:cs="Arial"/>
          <w:w w:val="105"/>
          <w:szCs w:val="24"/>
        </w:rPr>
      </w:pPr>
      <w:r w:rsidRPr="00913D81">
        <w:rPr>
          <w:rFonts w:cs="Arial"/>
          <w:w w:val="105"/>
          <w:szCs w:val="24"/>
        </w:rPr>
        <w:t xml:space="preserve">L’économie du Sénégal, dans le contexte africain, est assez diversifiée, car le pays n’est dépendant ni d’un seul produit, ni d’un seul marché pour son commerce extérieur. L'évaluation de ses avantages comparatifs révélés (ACR) peut se faire en examinant ses forces et ses faiblesses par rapport aux autres économies de la région ou du monde. On peut évoquer :   </w:t>
      </w:r>
    </w:p>
    <w:p w14:paraId="0E0C4D08" w14:textId="77777777" w:rsidR="00F404BF" w:rsidRPr="00913D81" w:rsidRDefault="00F404BF" w:rsidP="00F404BF">
      <w:pPr>
        <w:pStyle w:val="Pardeliste"/>
        <w:widowControl w:val="0"/>
        <w:numPr>
          <w:ilvl w:val="0"/>
          <w:numId w:val="32"/>
        </w:numPr>
        <w:shd w:val="clear" w:color="auto" w:fill="FFFFFF"/>
        <w:autoSpaceDE w:val="0"/>
        <w:autoSpaceDN w:val="0"/>
        <w:ind w:right="57"/>
        <w:contextualSpacing w:val="0"/>
        <w:rPr>
          <w:rFonts w:cs="Arial"/>
          <w:w w:val="105"/>
          <w:szCs w:val="24"/>
        </w:rPr>
      </w:pPr>
      <w:r w:rsidRPr="00913D81">
        <w:rPr>
          <w:rFonts w:cs="Arial"/>
          <w:w w:val="105"/>
          <w:szCs w:val="24"/>
        </w:rPr>
        <w:t>des ressources naturelles abondantes : le Sénégal dispose de ressources naturelles telles que le phosphore, l'or, le fer et le gaz naturel, ce qui peut offrir des opportunités pour l'exploitation minière et l'exportation de ces ressources ;</w:t>
      </w:r>
    </w:p>
    <w:p w14:paraId="08F3D98B" w14:textId="77777777" w:rsidR="00F404BF" w:rsidRPr="00913D81" w:rsidRDefault="00F404BF" w:rsidP="00F404BF">
      <w:pPr>
        <w:pStyle w:val="Pardeliste"/>
        <w:numPr>
          <w:ilvl w:val="0"/>
          <w:numId w:val="16"/>
        </w:numPr>
        <w:shd w:val="clear" w:color="auto" w:fill="FFFFFF"/>
        <w:ind w:right="57"/>
        <w:contextualSpacing w:val="0"/>
        <w:rPr>
          <w:rFonts w:cs="Arial"/>
          <w:w w:val="105"/>
          <w:szCs w:val="24"/>
        </w:rPr>
      </w:pPr>
      <w:r w:rsidRPr="00913D81">
        <w:rPr>
          <w:rFonts w:cs="Arial"/>
          <w:w w:val="105"/>
          <w:szCs w:val="24"/>
        </w:rPr>
        <w:t>une agriculture fertile : le Sénégal dispose de terres fertiles pour la production agricole, notamment de l'arachide, du coton et du riz. Cela peut offrir des opportunités pour l'exportation de produits agricoles vers les pays en développement ;</w:t>
      </w:r>
    </w:p>
    <w:p w14:paraId="0DED4E5D" w14:textId="77777777" w:rsidR="00F404BF" w:rsidRPr="00913D81" w:rsidRDefault="00F404BF" w:rsidP="00F404BF">
      <w:pPr>
        <w:pStyle w:val="Pardeliste"/>
        <w:numPr>
          <w:ilvl w:val="0"/>
          <w:numId w:val="16"/>
        </w:numPr>
        <w:shd w:val="clear" w:color="auto" w:fill="FFFFFF"/>
        <w:ind w:right="57"/>
        <w:contextualSpacing w:val="0"/>
        <w:rPr>
          <w:rFonts w:cs="Arial"/>
          <w:w w:val="105"/>
          <w:szCs w:val="24"/>
        </w:rPr>
      </w:pPr>
      <w:bookmarkStart w:id="53" w:name="_Hlk126826329"/>
      <w:r w:rsidRPr="00913D81">
        <w:rPr>
          <w:rFonts w:cs="Arial"/>
          <w:w w:val="105"/>
          <w:szCs w:val="24"/>
        </w:rPr>
        <w:t xml:space="preserve">une localisation géographique stratégique : le Sénégal est la porte ouest d’entrée du continent et peut servir d’interface pour  son arrière-pays plus encore qu’il ne l’est actuellement. Grâce à ses infrastructures portuaires, routières et ferroviaires, il se positionne dans la région Afrique de l’ouest comme un hub très important, une sorte de porte d’entrée et de sortie ; </w:t>
      </w:r>
      <w:bookmarkEnd w:id="53"/>
    </w:p>
    <w:p w14:paraId="63E40758" w14:textId="77777777" w:rsidR="00F404BF" w:rsidRPr="00913D81" w:rsidRDefault="00F404BF" w:rsidP="00F404BF">
      <w:pPr>
        <w:pStyle w:val="Pardeliste"/>
        <w:numPr>
          <w:ilvl w:val="0"/>
          <w:numId w:val="16"/>
        </w:numPr>
        <w:shd w:val="clear" w:color="auto" w:fill="FFFFFF"/>
        <w:ind w:right="57"/>
        <w:contextualSpacing w:val="0"/>
        <w:rPr>
          <w:rFonts w:cs="Arial"/>
          <w:w w:val="105"/>
          <w:szCs w:val="24"/>
        </w:rPr>
      </w:pPr>
      <w:r w:rsidRPr="00913D81">
        <w:rPr>
          <w:rFonts w:cs="Arial"/>
          <w:w w:val="105"/>
          <w:szCs w:val="24"/>
        </w:rPr>
        <w:t>une main-d'œuvre qualifiée: le Sénégal dispose d'une main-d'œuvre qualifiée dans les domaines tels que l'informatique, les services financiers et les soins de santé, ce qui constitue des opportunités pour les entreprises multinationales de venir s'y installer.</w:t>
      </w:r>
    </w:p>
    <w:p w14:paraId="5DCD3EC6" w14:textId="38F9FBC5" w:rsidR="004A5ADB" w:rsidRDefault="00F404BF" w:rsidP="00C56789">
      <w:pPr>
        <w:shd w:val="clear" w:color="auto" w:fill="FFFFFF"/>
        <w:ind w:right="57"/>
        <w:rPr>
          <w:rFonts w:cs="Arial"/>
          <w:w w:val="105"/>
          <w:szCs w:val="24"/>
        </w:rPr>
      </w:pPr>
      <w:r w:rsidRPr="00913D81">
        <w:rPr>
          <w:rFonts w:cs="Arial"/>
          <w:w w:val="105"/>
          <w:szCs w:val="24"/>
        </w:rPr>
        <w:lastRenderedPageBreak/>
        <w:t>Les avantages comparatifs révélés peuvent être déterminés par la comparaison des coûts relatifs de production et de la qualité des produits da</w:t>
      </w:r>
      <w:r>
        <w:rPr>
          <w:rFonts w:cs="Arial"/>
          <w:w w:val="105"/>
          <w:szCs w:val="24"/>
        </w:rPr>
        <w:t>ns divers secteurs économiques</w:t>
      </w:r>
      <w:r w:rsidR="004A5ADB">
        <w:rPr>
          <w:rFonts w:cs="Arial"/>
          <w:w w:val="105"/>
          <w:szCs w:val="24"/>
        </w:rPr>
        <w:t>.</w:t>
      </w:r>
    </w:p>
    <w:p w14:paraId="3CD561BC" w14:textId="3D7744C1" w:rsidR="004A5ADB" w:rsidRPr="00C56789" w:rsidRDefault="00C56789" w:rsidP="00C56789">
      <w:pPr>
        <w:pStyle w:val="Lgende"/>
        <w:keepNext/>
        <w:spacing w:after="100" w:line="276" w:lineRule="auto"/>
        <w:rPr>
          <w:rFonts w:ascii="Tw Cen MT" w:hAnsi="Tw Cen MT" w:cs="Arial"/>
          <w:i w:val="0"/>
          <w:color w:val="auto"/>
          <w:sz w:val="24"/>
          <w:szCs w:val="24"/>
        </w:rPr>
      </w:pPr>
      <w:bookmarkStart w:id="54" w:name="_Toc134226409"/>
      <w:bookmarkStart w:id="55" w:name="_Toc135140213"/>
      <w:r>
        <w:rPr>
          <w:rFonts w:cs="Arial"/>
          <w:noProof/>
          <w:szCs w:val="24"/>
        </w:rPr>
        <w:drawing>
          <wp:anchor distT="0" distB="0" distL="114300" distR="114300" simplePos="0" relativeHeight="251808768" behindDoc="0" locked="0" layoutInCell="1" allowOverlap="1" wp14:anchorId="346B58AC" wp14:editId="693C7D78">
            <wp:simplePos x="0" y="0"/>
            <wp:positionH relativeFrom="margin">
              <wp:align>left</wp:align>
            </wp:positionH>
            <wp:positionV relativeFrom="paragraph">
              <wp:posOffset>252095</wp:posOffset>
            </wp:positionV>
            <wp:extent cx="5687695" cy="2470150"/>
            <wp:effectExtent l="0" t="0" r="8255" b="6350"/>
            <wp:wrapTopAndBottom/>
            <wp:docPr id="21" name="Graphique 21">
              <a:extLst xmlns:a="http://schemas.openxmlformats.org/drawingml/2006/main">
                <a:ext uri="{FF2B5EF4-FFF2-40B4-BE49-F238E27FC236}">
                  <a16:creationId xmlns:lc="http://schemas.openxmlformats.org/drawingml/2006/lockedCanva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89F69085-A4FE-4AA5-9486-4AFFEB7A102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anchor>
        </w:drawing>
      </w:r>
      <w:r w:rsidR="004A5ADB" w:rsidRPr="00C56789">
        <w:rPr>
          <w:rFonts w:ascii="Tw Cen MT" w:hAnsi="Tw Cen MT" w:cs="Arial"/>
          <w:b/>
          <w:bCs/>
          <w:i w:val="0"/>
          <w:color w:val="auto"/>
          <w:sz w:val="24"/>
          <w:szCs w:val="24"/>
          <w:u w:val="single"/>
        </w:rPr>
        <w:t xml:space="preserve">Graphique </w:t>
      </w:r>
      <w:r w:rsidR="004A5ADB" w:rsidRPr="00C56789">
        <w:rPr>
          <w:i w:val="0"/>
          <w:sz w:val="24"/>
          <w:szCs w:val="24"/>
        </w:rPr>
        <w:fldChar w:fldCharType="begin"/>
      </w:r>
      <w:r w:rsidR="004A5ADB" w:rsidRPr="00C56789">
        <w:rPr>
          <w:rFonts w:ascii="Tw Cen MT" w:hAnsi="Tw Cen MT" w:cs="Arial"/>
          <w:b/>
          <w:bCs/>
          <w:i w:val="0"/>
          <w:color w:val="auto"/>
          <w:sz w:val="24"/>
          <w:szCs w:val="24"/>
          <w:u w:val="single"/>
        </w:rPr>
        <w:instrText xml:space="preserve"> SEQ Graphique \* ARABIC </w:instrText>
      </w:r>
      <w:r w:rsidR="004A5ADB" w:rsidRPr="00C56789">
        <w:rPr>
          <w:i w:val="0"/>
          <w:sz w:val="24"/>
          <w:szCs w:val="24"/>
        </w:rPr>
        <w:fldChar w:fldCharType="separate"/>
      </w:r>
      <w:r w:rsidR="004A5ADB" w:rsidRPr="00C56789">
        <w:rPr>
          <w:rFonts w:ascii="Tw Cen MT" w:hAnsi="Tw Cen MT" w:cs="Arial"/>
          <w:b/>
          <w:bCs/>
          <w:i w:val="0"/>
          <w:noProof/>
          <w:color w:val="auto"/>
          <w:sz w:val="24"/>
          <w:szCs w:val="24"/>
          <w:u w:val="single"/>
        </w:rPr>
        <w:t>8</w:t>
      </w:r>
      <w:r w:rsidR="004A5ADB" w:rsidRPr="00C56789">
        <w:rPr>
          <w:i w:val="0"/>
          <w:sz w:val="24"/>
          <w:szCs w:val="24"/>
        </w:rPr>
        <w:fldChar w:fldCharType="end"/>
      </w:r>
      <w:r w:rsidR="004A5ADB" w:rsidRPr="00C56789">
        <w:rPr>
          <w:rFonts w:ascii="Tw Cen MT" w:hAnsi="Tw Cen MT" w:cs="Arial"/>
          <w:i w:val="0"/>
          <w:color w:val="auto"/>
          <w:sz w:val="24"/>
          <w:szCs w:val="24"/>
        </w:rPr>
        <w:t>: Produits à avantages comparatifs révélés pour le Sénégal en 2021</w:t>
      </w:r>
      <w:bookmarkEnd w:id="54"/>
      <w:bookmarkEnd w:id="55"/>
    </w:p>
    <w:p w14:paraId="61132B28" w14:textId="3A0A6FFE" w:rsidR="004A5ADB" w:rsidRPr="0023292F" w:rsidRDefault="004A5ADB" w:rsidP="00C56789">
      <w:pPr>
        <w:spacing w:before="180" w:after="100" w:afterAutospacing="1"/>
        <w:ind w:right="57"/>
        <w:rPr>
          <w:rFonts w:eastAsia="Times New Roman" w:cs="Arial"/>
          <w:szCs w:val="24"/>
          <w:lang w:eastAsia="fr-FR"/>
        </w:rPr>
      </w:pPr>
      <w:r w:rsidRPr="0023292F">
        <w:rPr>
          <w:rFonts w:cs="Arial"/>
          <w:b/>
          <w:w w:val="105"/>
          <w:sz w:val="20"/>
          <w:szCs w:val="20"/>
          <w:u w:val="single"/>
        </w:rPr>
        <w:t>Source</w:t>
      </w:r>
      <w:r w:rsidRPr="0023292F">
        <w:rPr>
          <w:rFonts w:cs="Arial"/>
          <w:b/>
          <w:w w:val="105"/>
          <w:sz w:val="20"/>
          <w:szCs w:val="20"/>
        </w:rPr>
        <w:t> </w:t>
      </w:r>
      <w:r w:rsidRPr="0023292F">
        <w:rPr>
          <w:rFonts w:cs="Arial"/>
          <w:w w:val="105"/>
          <w:sz w:val="20"/>
          <w:szCs w:val="20"/>
        </w:rPr>
        <w:t>: CNUCED 2022</w:t>
      </w:r>
    </w:p>
    <w:p w14:paraId="39C9ED43" w14:textId="77777777" w:rsidR="00F404BF" w:rsidRPr="00913D81" w:rsidRDefault="00F404BF" w:rsidP="00F404BF">
      <w:pPr>
        <w:shd w:val="clear" w:color="auto" w:fill="FFFFFF"/>
        <w:spacing w:after="60"/>
        <w:ind w:right="57"/>
        <w:rPr>
          <w:rFonts w:cs="Arial"/>
          <w:w w:val="105"/>
          <w:szCs w:val="24"/>
        </w:rPr>
      </w:pPr>
      <w:r w:rsidRPr="00913D81">
        <w:rPr>
          <w:rFonts w:cs="Arial"/>
          <w:w w:val="105"/>
          <w:szCs w:val="24"/>
        </w:rPr>
        <w:t>Le graphique ci-dessus montre les produits ayant les ACR les plus élevés pour le Sénégal en 2021. Calculés par le Centre des Nations unies pour le Développement industriel (CNUCED), les avantages comparatifs révélés (ACR) peuvent être interprétés comme une mesure de la compétitivité relative d'un pays dans la production et l'exportation de différents produits. Ils mesurent les coûts relatifs de production de biens et de services dans un pays par rapport à d'autres pays, en prenant en compte les facteurs tels que les salaires, les prix des matières premières et les coûts de l'énergie.</w:t>
      </w:r>
    </w:p>
    <w:p w14:paraId="12A00739" w14:textId="77777777" w:rsidR="00F404BF" w:rsidRPr="00913D81" w:rsidRDefault="00F404BF" w:rsidP="00F404BF">
      <w:pPr>
        <w:shd w:val="clear" w:color="auto" w:fill="FFFFFF"/>
        <w:spacing w:after="60"/>
        <w:ind w:right="57"/>
        <w:rPr>
          <w:rFonts w:cs="Arial"/>
          <w:w w:val="105"/>
          <w:szCs w:val="24"/>
        </w:rPr>
      </w:pPr>
      <w:r w:rsidRPr="00913D81">
        <w:rPr>
          <w:rFonts w:cs="Arial"/>
          <w:w w:val="105"/>
          <w:szCs w:val="24"/>
        </w:rPr>
        <w:t>L’analyse montre que les produits dans lesquels le Sénégal dispose des meilleurs Avantages Comparatifs révélés sont dans l’ordre les Engrais bruts (39,36), les Chaux et matériaux de construction fabriqués (28,15), les Minerais de métaux communs et concentrés (23,192), les Produits chimiques inorganiques (23,61), les Crustacés, mollusques et invertébrés aquatiques (18,79), et les Poissons frais, vivants ou morts, réfrigérés ou congelés (18,59).</w:t>
      </w:r>
      <w:r w:rsidRPr="00913D81">
        <w:rPr>
          <w:rFonts w:cs="Arial"/>
          <w:szCs w:val="24"/>
        </w:rPr>
        <w:t xml:space="preserve"> </w:t>
      </w:r>
      <w:r w:rsidRPr="00913D81">
        <w:rPr>
          <w:rFonts w:cs="Arial"/>
          <w:w w:val="105"/>
          <w:szCs w:val="24"/>
        </w:rPr>
        <w:t>Les exportations du Sénégal vers l’Afrique comprennent une proportion plus élevée de produits manufacturés que les exportations africaines vers le reste du monde, lesquelles sont concentrées dans les produits à faible valeur ajoutée comme les animaux, les légumes et les produits chimiques.</w:t>
      </w:r>
    </w:p>
    <w:p w14:paraId="2041CE0E" w14:textId="77777777" w:rsidR="00F404BF" w:rsidRPr="00913D81" w:rsidRDefault="00F404BF" w:rsidP="00F404BF">
      <w:pPr>
        <w:shd w:val="clear" w:color="auto" w:fill="FFFFFF"/>
        <w:spacing w:after="60"/>
        <w:ind w:right="57"/>
        <w:rPr>
          <w:rFonts w:cs="Arial"/>
          <w:w w:val="105"/>
          <w:szCs w:val="24"/>
        </w:rPr>
      </w:pPr>
      <w:r w:rsidRPr="00913D81">
        <w:rPr>
          <w:rFonts w:cs="Arial"/>
          <w:w w:val="105"/>
          <w:szCs w:val="24"/>
        </w:rPr>
        <w:t xml:space="preserve">Cela peut indiquer que pour ces biens, le pays dispose de facteurs de production abondants, de coûts de production relativement bas ou d'autres avantages qui lui permettent de les produire d’une manière plus efficace que ne le font d'autres pays ou régions. </w:t>
      </w:r>
    </w:p>
    <w:p w14:paraId="178AB958" w14:textId="77777777" w:rsidR="00F404BF" w:rsidRPr="00913D81" w:rsidRDefault="00F404BF" w:rsidP="00F404BF">
      <w:pPr>
        <w:spacing w:after="60"/>
        <w:ind w:right="57"/>
        <w:rPr>
          <w:rFonts w:cs="Arial"/>
          <w:szCs w:val="24"/>
        </w:rPr>
      </w:pPr>
      <w:r w:rsidRPr="00913D81">
        <w:rPr>
          <w:rFonts w:cs="Arial"/>
          <w:szCs w:val="24"/>
        </w:rPr>
        <w:t>S’agissant de l’application de la méthode de l’espace de produits exportés, Golub et al (2019) ont observé que les 5 principales exportations du Sénégal en 2015 (produits pétroliers, or, acide phosphorique, ciment et poisson) partagent un désavantage majeur : elles font recours à des technologies et aptitudes externes ou capitalistiques.</w:t>
      </w:r>
    </w:p>
    <w:p w14:paraId="3FF518AB" w14:textId="77777777" w:rsidR="00F404BF" w:rsidRPr="00913D81" w:rsidRDefault="00F404BF" w:rsidP="00F404BF">
      <w:pPr>
        <w:spacing w:after="60"/>
        <w:ind w:right="57"/>
        <w:rPr>
          <w:rFonts w:cs="Arial"/>
          <w:szCs w:val="24"/>
        </w:rPr>
      </w:pPr>
      <w:r w:rsidRPr="00913D81">
        <w:rPr>
          <w:rFonts w:cs="Arial"/>
          <w:szCs w:val="24"/>
        </w:rPr>
        <w:t xml:space="preserve">Pour les produits de diversification dont la production et l’exportation feraient appel aux capacités développées autour des exportations classiques du Sénégal (poisson et fruits de mer, </w:t>
      </w:r>
      <w:r w:rsidRPr="00913D81">
        <w:rPr>
          <w:rFonts w:cs="Arial"/>
          <w:szCs w:val="24"/>
        </w:rPr>
        <w:lastRenderedPageBreak/>
        <w:t xml:space="preserve">produits arachidiers, produits chimiques), la méthode de la Banque mondiale appelle à porter l’attention à : </w:t>
      </w:r>
    </w:p>
    <w:p w14:paraId="38C03EB3" w14:textId="77777777" w:rsidR="00F404BF" w:rsidRPr="00913D81" w:rsidRDefault="00F404BF" w:rsidP="00F404BF">
      <w:pPr>
        <w:pStyle w:val="Pardeliste"/>
        <w:numPr>
          <w:ilvl w:val="0"/>
          <w:numId w:val="33"/>
        </w:numPr>
        <w:spacing w:after="60"/>
        <w:ind w:right="57"/>
        <w:contextualSpacing w:val="0"/>
        <w:rPr>
          <w:rFonts w:cs="Arial"/>
          <w:szCs w:val="24"/>
        </w:rPr>
      </w:pPr>
      <w:r w:rsidRPr="00913D81">
        <w:rPr>
          <w:rFonts w:cs="Arial"/>
          <w:szCs w:val="24"/>
        </w:rPr>
        <w:t>des produits agricoles : poivre, riz, thé, coton brut, canne à sucre, betterave, résidus végétaux ;</w:t>
      </w:r>
    </w:p>
    <w:p w14:paraId="4232260E" w14:textId="77777777" w:rsidR="00F404BF" w:rsidRPr="00913D81" w:rsidRDefault="00F404BF" w:rsidP="00F404BF">
      <w:pPr>
        <w:pStyle w:val="Pardeliste"/>
        <w:numPr>
          <w:ilvl w:val="0"/>
          <w:numId w:val="33"/>
        </w:numPr>
        <w:spacing w:after="60"/>
        <w:ind w:right="57"/>
        <w:contextualSpacing w:val="0"/>
        <w:rPr>
          <w:rFonts w:cs="Arial"/>
          <w:szCs w:val="24"/>
        </w:rPr>
      </w:pPr>
      <w:r w:rsidRPr="00913D81">
        <w:rPr>
          <w:rFonts w:cs="Arial"/>
          <w:szCs w:val="24"/>
        </w:rPr>
        <w:t>des produits halieutiques ou dérivés : huile de poisson, sel, algues, filets de pêche.</w:t>
      </w:r>
    </w:p>
    <w:p w14:paraId="18EAB670" w14:textId="77777777" w:rsidR="00F404BF" w:rsidRPr="00913D81" w:rsidRDefault="00F404BF" w:rsidP="00F404BF">
      <w:pPr>
        <w:spacing w:after="60"/>
        <w:ind w:right="57"/>
        <w:rPr>
          <w:rFonts w:cs="Arial"/>
          <w:szCs w:val="24"/>
        </w:rPr>
      </w:pPr>
      <w:r w:rsidRPr="00913D81">
        <w:rPr>
          <w:rFonts w:cs="Arial"/>
          <w:szCs w:val="24"/>
        </w:rPr>
        <w:t>Les produits halieutiques, les produits arachidiers, l’horticulture, le textile habillement, auraient donc un rôle à jouer dans l’animation des activités dans les zones économiques spéciales au Sénégal pour l’exportation.</w:t>
      </w:r>
    </w:p>
    <w:p w14:paraId="7F65A7DF" w14:textId="77777777" w:rsidR="00F404BF" w:rsidRPr="00913D81" w:rsidRDefault="00F404BF" w:rsidP="00F404BF">
      <w:pPr>
        <w:spacing w:after="60"/>
        <w:ind w:right="57"/>
        <w:rPr>
          <w:rFonts w:cs="Arial"/>
          <w:szCs w:val="24"/>
        </w:rPr>
      </w:pPr>
      <w:r w:rsidRPr="00913D81">
        <w:rPr>
          <w:rFonts w:cs="Arial"/>
          <w:szCs w:val="24"/>
        </w:rPr>
        <w:t>S’agissant des produits champions émergents que le Sénégal a commencé à exporter avec avantage comparatif, il faut d’abord étudier les conditions de leur montée en puissance. Il s’agit des produits suivants : cuirs et peaux, agro-industrie, produits dérivés du tabac. En augmentant en volume et en valeur, les peaux tannées ou non de mouton, chèvre, d’équins ou de bovins contribueraient à la diversification des exportations.</w:t>
      </w:r>
    </w:p>
    <w:p w14:paraId="79E61743" w14:textId="77777777" w:rsidR="00F404BF" w:rsidRPr="00913D81" w:rsidRDefault="00F404BF" w:rsidP="00F404BF">
      <w:pPr>
        <w:spacing w:after="60"/>
        <w:ind w:right="57"/>
        <w:rPr>
          <w:rFonts w:cs="Arial"/>
          <w:szCs w:val="24"/>
        </w:rPr>
      </w:pPr>
      <w:r w:rsidRPr="00913D81">
        <w:rPr>
          <w:rFonts w:cs="Arial"/>
          <w:szCs w:val="24"/>
        </w:rPr>
        <w:t xml:space="preserve">Pour l’agro-industrie sont concernés les noix, la tomate, les légumes, les melons, les fruits tropicaux, les céréales, les farines, la farine de blé, les légumes congelés et le manioc. </w:t>
      </w:r>
    </w:p>
    <w:p w14:paraId="0B174BEC" w14:textId="77777777" w:rsidR="00F404BF" w:rsidRPr="00913D81" w:rsidRDefault="00F404BF" w:rsidP="00F404BF">
      <w:pPr>
        <w:spacing w:after="60"/>
        <w:ind w:right="57"/>
        <w:rPr>
          <w:rFonts w:cs="Arial"/>
          <w:szCs w:val="24"/>
        </w:rPr>
      </w:pPr>
      <w:r w:rsidRPr="00913D81">
        <w:rPr>
          <w:rFonts w:cs="Arial"/>
          <w:szCs w:val="24"/>
        </w:rPr>
        <w:t>Sur la base des capacités et connaissances développées à travers l’exportation de produits dérivés du tabac, le Sénégal pourrait également étudier le potentiel d’exportation de produits cuirs, d’emballages en papier, et de lait concentré.</w:t>
      </w:r>
    </w:p>
    <w:p w14:paraId="17DE9FA3" w14:textId="6E175FEC" w:rsidR="004A5ADB" w:rsidRDefault="00F404BF" w:rsidP="00F404BF">
      <w:pPr>
        <w:spacing w:after="60"/>
        <w:ind w:right="57"/>
        <w:rPr>
          <w:rFonts w:cs="Arial"/>
          <w:szCs w:val="24"/>
        </w:rPr>
      </w:pPr>
      <w:r w:rsidRPr="00913D81">
        <w:rPr>
          <w:rFonts w:cs="Arial"/>
          <w:szCs w:val="24"/>
        </w:rPr>
        <w:t>En appui, les mesures d’accompagnement adéquates devraient être identifiées de façon partenariale sur l’accès au crédit, la qualité des infrastructures, les équipements de sécurité, l’information et la formation professionnelle, le respect des normes internationales, notamment dans le domaine de l’hygiène, les relations sociales,</w:t>
      </w:r>
      <w:r>
        <w:rPr>
          <w:rFonts w:cs="Arial"/>
          <w:szCs w:val="24"/>
        </w:rPr>
        <w:t xml:space="preserve"> la lutte contre la corruption</w:t>
      </w:r>
      <w:r w:rsidR="004A5ADB">
        <w:rPr>
          <w:rFonts w:cs="Arial"/>
          <w:szCs w:val="24"/>
        </w:rPr>
        <w:t>.</w:t>
      </w:r>
    </w:p>
    <w:p w14:paraId="529EFA65" w14:textId="2BB301CF" w:rsidR="004A5ADB" w:rsidRPr="002F5B82" w:rsidRDefault="002922C5" w:rsidP="00901D8C">
      <w:pPr>
        <w:pStyle w:val="Titre5"/>
      </w:pPr>
      <w:bookmarkStart w:id="56" w:name="_Toc134287599"/>
      <w:bookmarkStart w:id="57" w:name="_Toc135140179"/>
      <w:r>
        <w:t>III.2.2</w:t>
      </w:r>
      <w:r w:rsidR="002F5B82" w:rsidRPr="002F5B82">
        <w:t xml:space="preserve">.3. </w:t>
      </w:r>
      <w:r w:rsidR="004A5ADB" w:rsidRPr="002F5B82">
        <w:t>Chaines de valeur régionales</w:t>
      </w:r>
      <w:bookmarkEnd w:id="56"/>
      <w:bookmarkEnd w:id="57"/>
    </w:p>
    <w:p w14:paraId="5946C17D" w14:textId="77777777" w:rsidR="002922C5" w:rsidRPr="00913D81" w:rsidRDefault="002922C5" w:rsidP="002922C5">
      <w:pPr>
        <w:spacing w:after="60"/>
        <w:ind w:right="57"/>
        <w:rPr>
          <w:rFonts w:cs="Arial"/>
          <w:szCs w:val="24"/>
        </w:rPr>
      </w:pPr>
      <w:bookmarkStart w:id="58" w:name="_Toc134287600"/>
      <w:r w:rsidRPr="00913D81">
        <w:rPr>
          <w:rFonts w:cs="Arial"/>
          <w:szCs w:val="24"/>
        </w:rPr>
        <w:t>L’économie sénégalaise s’est certes imposée en fournisseur de biens en Afrique avec des exportations qui représentent plus de 40% mais n’empêche elle est faiblement connectée aux chaînes de valeurs régionales. En effet, les produits exportés vers l’Afrique sont pour l’essentiel des produits finis, avec une faible incorporation d’intrants d’origine africaine, dans la mesure où, sur le continent les biens importés par le Sénégal représentent 13% de ses importations totales. De plus, ils sont en grande partie composées de pétrole brut en provenance du Nigéria utilisé par la SENELEC et de produits agroalimentaire (huile de palme, savon etc.). Le Sénégal s’approvisionne particulièrement de l’Union européenne, de la Chine, de l’Inde.</w:t>
      </w:r>
    </w:p>
    <w:p w14:paraId="0A79CE47" w14:textId="77777777" w:rsidR="002922C5" w:rsidRPr="00913D81" w:rsidRDefault="002922C5" w:rsidP="002922C5">
      <w:pPr>
        <w:spacing w:after="60"/>
        <w:ind w:right="57"/>
        <w:rPr>
          <w:rFonts w:cs="Arial"/>
          <w:szCs w:val="24"/>
        </w:rPr>
      </w:pPr>
      <w:r w:rsidRPr="00913D81">
        <w:rPr>
          <w:rFonts w:cs="Arial"/>
          <w:szCs w:val="24"/>
        </w:rPr>
        <w:t xml:space="preserve">Toutefois, une bonne intégration des produits sénégalais aux chaînes de valeurs régionales permettrait à l’économie d’être beaucoup plus compétitive, grâce d’une part à l’accompagnement prévue par la CEDEAO et même la ZLECAf pour le développement des chaînes de valeur de la région, et d’autre part à la diminution des coûts et des délais de livraison des intrants, lesquels sont beaucoup plus proches et sont souvent en franchise de droits de douanes. </w:t>
      </w:r>
    </w:p>
    <w:p w14:paraId="7DEB228D" w14:textId="77777777" w:rsidR="002922C5" w:rsidRPr="00913D81" w:rsidRDefault="002922C5" w:rsidP="002922C5">
      <w:pPr>
        <w:spacing w:after="60"/>
        <w:ind w:right="57"/>
        <w:rPr>
          <w:rFonts w:cs="Arial"/>
          <w:szCs w:val="24"/>
        </w:rPr>
      </w:pPr>
      <w:r w:rsidRPr="00913D81">
        <w:rPr>
          <w:rFonts w:cs="Arial"/>
          <w:szCs w:val="24"/>
        </w:rPr>
        <w:t xml:space="preserve">La région dispose en quantité importante de matières premières pour le développement des secteurs tels que le textile, les cuirs et peau, la charcuterie, l’automobile, les engrais ainsi que les jus de fruits. La Commission a dans ce sens identifié un certain nombre de chaînes qu’elle a jugé prioritaire à développer au niveau de la région.  </w:t>
      </w:r>
    </w:p>
    <w:p w14:paraId="40A75202" w14:textId="0A192328" w:rsidR="004A5ADB" w:rsidRDefault="002922C5" w:rsidP="00901D8C">
      <w:pPr>
        <w:pStyle w:val="Titre5"/>
      </w:pPr>
      <w:bookmarkStart w:id="59" w:name="_Toc135140180"/>
      <w:r>
        <w:lastRenderedPageBreak/>
        <w:t>III.2.2</w:t>
      </w:r>
      <w:r w:rsidR="002F5B82" w:rsidRPr="002F5B82">
        <w:t xml:space="preserve">.4. </w:t>
      </w:r>
      <w:r w:rsidR="004A5ADB" w:rsidRPr="002F5B82">
        <w:t>Infrastructures</w:t>
      </w:r>
      <w:bookmarkEnd w:id="58"/>
      <w:bookmarkEnd w:id="59"/>
    </w:p>
    <w:p w14:paraId="4B57D9F8" w14:textId="77777777" w:rsidR="002922C5" w:rsidRPr="00913D81" w:rsidRDefault="002922C5" w:rsidP="002922C5">
      <w:pPr>
        <w:spacing w:after="60"/>
        <w:rPr>
          <w:rFonts w:cs="Arial"/>
          <w:szCs w:val="24"/>
        </w:rPr>
      </w:pPr>
      <w:r w:rsidRPr="00913D81">
        <w:rPr>
          <w:rFonts w:cs="Arial"/>
          <w:b/>
          <w:bCs/>
          <w:w w:val="105"/>
          <w:szCs w:val="24"/>
        </w:rPr>
        <w:t>En termes de qualité des infrastructures,</w:t>
      </w:r>
      <w:r w:rsidRPr="00913D81">
        <w:rPr>
          <w:rFonts w:cs="Arial"/>
          <w:w w:val="105"/>
          <w:szCs w:val="24"/>
        </w:rPr>
        <w:t xml:space="preserve"> l'indice mondial de l'infrastructure de qualité (GQII) rassemble les données officielles des organismes nationaux et internationaux d'accréditation, de normalisation et de métrologie et montre le développement de l'infrastructure de qualité (IQ) dans 184 économies. Les scores obtenus par les pays en 2021 révèlent que le Sénégal, avec un indice faible de 0.39, dépasse à peine la moyenne africaine située à 0.38. Classé 118ème au rang mondial, le Sénégal occupe un rang médian sur le continent africain, étant devancé par 21 pays sur le plan des infrastructures de qualité. Les cinq pays les mieux dotés en infrastructures de qualité sont l’Afrique du sud (0.91), l’Egypte (0.82), le Kenya (0.70), la Tunisie (0.63) et le Maroc (0.57).</w:t>
      </w:r>
    </w:p>
    <w:p w14:paraId="21FAF32D" w14:textId="77777777" w:rsidR="002F5B82" w:rsidRPr="002F5B82" w:rsidRDefault="002F5B82" w:rsidP="002F5B82">
      <w:pPr>
        <w:rPr>
          <w:sz w:val="4"/>
          <w:szCs w:val="4"/>
        </w:rPr>
      </w:pPr>
    </w:p>
    <w:p w14:paraId="0ED6F98F" w14:textId="325132EA" w:rsidR="004A5ADB" w:rsidRPr="002F5B82" w:rsidRDefault="00223F95" w:rsidP="004A5ADB">
      <w:pPr>
        <w:pStyle w:val="Lgende"/>
        <w:keepNext/>
        <w:spacing w:line="276" w:lineRule="auto"/>
        <w:rPr>
          <w:rFonts w:ascii="Tw Cen MT" w:hAnsi="Tw Cen MT" w:cs="Arial"/>
          <w:i w:val="0"/>
          <w:color w:val="auto"/>
          <w:sz w:val="24"/>
          <w:szCs w:val="24"/>
        </w:rPr>
      </w:pPr>
      <w:bookmarkStart w:id="60" w:name="_Toc134226410"/>
      <w:bookmarkStart w:id="61" w:name="_Toc135140214"/>
      <w:r>
        <w:rPr>
          <w:rFonts w:cs="Arial"/>
          <w:noProof/>
          <w:color w:val="70AD47" w:themeColor="accent6"/>
          <w:szCs w:val="24"/>
          <w:bdr w:val="single" w:sz="4" w:space="0" w:color="auto" w:frame="1"/>
        </w:rPr>
        <w:drawing>
          <wp:anchor distT="0" distB="0" distL="114300" distR="114300" simplePos="0" relativeHeight="251809792" behindDoc="0" locked="0" layoutInCell="1" allowOverlap="1" wp14:anchorId="035EE8BE" wp14:editId="09669893">
            <wp:simplePos x="0" y="0"/>
            <wp:positionH relativeFrom="margin">
              <wp:align>left</wp:align>
            </wp:positionH>
            <wp:positionV relativeFrom="paragraph">
              <wp:posOffset>253233</wp:posOffset>
            </wp:positionV>
            <wp:extent cx="5745708" cy="2770505"/>
            <wp:effectExtent l="0" t="0" r="7620" b="10795"/>
            <wp:wrapTopAndBottom/>
            <wp:docPr id="19" name="Graphique 19">
              <a:extLst xmlns:a="http://schemas.openxmlformats.org/drawingml/2006/main">
                <a:ext uri="{FF2B5EF4-FFF2-40B4-BE49-F238E27FC236}">
                  <a16:creationId xmlns:lc="http://schemas.openxmlformats.org/drawingml/2006/lockedCanva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563EE131-9DC1-4051-BDB5-BDDE5531CFB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anchor>
        </w:drawing>
      </w:r>
      <w:r w:rsidR="004A5ADB" w:rsidRPr="002F5B82">
        <w:rPr>
          <w:rFonts w:ascii="Tw Cen MT" w:hAnsi="Tw Cen MT" w:cs="Arial"/>
          <w:b/>
          <w:bCs/>
          <w:i w:val="0"/>
          <w:color w:val="auto"/>
          <w:sz w:val="24"/>
          <w:szCs w:val="24"/>
          <w:u w:val="single"/>
        </w:rPr>
        <w:t xml:space="preserve">Graphique </w:t>
      </w:r>
      <w:r w:rsidR="004A5ADB" w:rsidRPr="002F5B82">
        <w:rPr>
          <w:i w:val="0"/>
        </w:rPr>
        <w:fldChar w:fldCharType="begin"/>
      </w:r>
      <w:r w:rsidR="004A5ADB" w:rsidRPr="002F5B82">
        <w:rPr>
          <w:rFonts w:ascii="Tw Cen MT" w:hAnsi="Tw Cen MT" w:cs="Arial"/>
          <w:b/>
          <w:bCs/>
          <w:i w:val="0"/>
          <w:color w:val="auto"/>
          <w:sz w:val="24"/>
          <w:szCs w:val="24"/>
          <w:u w:val="single"/>
        </w:rPr>
        <w:instrText xml:space="preserve"> SEQ Graphique \* ARABIC </w:instrText>
      </w:r>
      <w:r w:rsidR="004A5ADB" w:rsidRPr="002F5B82">
        <w:rPr>
          <w:i w:val="0"/>
        </w:rPr>
        <w:fldChar w:fldCharType="separate"/>
      </w:r>
      <w:r w:rsidR="004A5ADB" w:rsidRPr="002F5B82">
        <w:rPr>
          <w:rFonts w:ascii="Tw Cen MT" w:hAnsi="Tw Cen MT" w:cs="Arial"/>
          <w:b/>
          <w:bCs/>
          <w:i w:val="0"/>
          <w:noProof/>
          <w:color w:val="auto"/>
          <w:sz w:val="24"/>
          <w:szCs w:val="24"/>
          <w:u w:val="single"/>
        </w:rPr>
        <w:t>9</w:t>
      </w:r>
      <w:r w:rsidR="004A5ADB" w:rsidRPr="002F5B82">
        <w:rPr>
          <w:i w:val="0"/>
        </w:rPr>
        <w:fldChar w:fldCharType="end"/>
      </w:r>
      <w:r>
        <w:rPr>
          <w:i w:val="0"/>
        </w:rPr>
        <w:t xml:space="preserve"> </w:t>
      </w:r>
      <w:r w:rsidR="004A5ADB" w:rsidRPr="002F5B82">
        <w:rPr>
          <w:rFonts w:ascii="Tw Cen MT" w:hAnsi="Tw Cen MT" w:cs="Arial"/>
          <w:i w:val="0"/>
          <w:color w:val="auto"/>
          <w:sz w:val="24"/>
          <w:szCs w:val="24"/>
        </w:rPr>
        <w:t>: Indice Mondial de l’infrastructure de qualité en Afrique</w:t>
      </w:r>
      <w:bookmarkEnd w:id="60"/>
      <w:bookmarkEnd w:id="61"/>
    </w:p>
    <w:p w14:paraId="5D83CCD5" w14:textId="77777777" w:rsidR="00223F95" w:rsidRPr="00223F95" w:rsidRDefault="00223F95" w:rsidP="00223F95">
      <w:pPr>
        <w:spacing w:before="120" w:after="0"/>
        <w:ind w:right="57"/>
        <w:rPr>
          <w:rFonts w:cs="Arial"/>
          <w:sz w:val="4"/>
          <w:szCs w:val="4"/>
          <w:u w:val="single"/>
        </w:rPr>
      </w:pPr>
    </w:p>
    <w:p w14:paraId="6830ABA1" w14:textId="28ADBC74" w:rsidR="004A5ADB" w:rsidRPr="002922C5" w:rsidRDefault="004A5ADB" w:rsidP="002922C5">
      <w:pPr>
        <w:spacing w:after="60"/>
        <w:ind w:right="57"/>
        <w:rPr>
          <w:rFonts w:cs="Arial"/>
          <w:szCs w:val="24"/>
        </w:rPr>
      </w:pPr>
      <w:r w:rsidRPr="0023292F">
        <w:rPr>
          <w:rFonts w:cs="Arial"/>
          <w:b/>
          <w:i/>
          <w:sz w:val="20"/>
          <w:szCs w:val="20"/>
          <w:u w:val="single"/>
        </w:rPr>
        <w:t>Source</w:t>
      </w:r>
      <w:r w:rsidRPr="0023292F">
        <w:rPr>
          <w:rFonts w:cs="Arial"/>
          <w:b/>
          <w:i/>
          <w:sz w:val="20"/>
          <w:szCs w:val="20"/>
        </w:rPr>
        <w:t> :</w:t>
      </w:r>
      <w:r w:rsidR="002922C5">
        <w:rPr>
          <w:rFonts w:cs="Arial"/>
          <w:b/>
          <w:i/>
          <w:sz w:val="20"/>
          <w:szCs w:val="20"/>
        </w:rPr>
        <w:t xml:space="preserve"> </w:t>
      </w:r>
      <w:r w:rsidR="002922C5" w:rsidRPr="00913D81">
        <w:rPr>
          <w:rFonts w:cs="Arial"/>
          <w:szCs w:val="24"/>
        </w:rPr>
        <w:t>Global Quality Infrastructure Index (GQII) Program, 2022</w:t>
      </w:r>
    </w:p>
    <w:p w14:paraId="14461AE3" w14:textId="77777777" w:rsidR="002922C5" w:rsidRPr="00913D81" w:rsidRDefault="002922C5" w:rsidP="00FC2505">
      <w:pPr>
        <w:ind w:right="57"/>
        <w:rPr>
          <w:rFonts w:cs="Arial"/>
          <w:w w:val="105"/>
          <w:szCs w:val="24"/>
        </w:rPr>
      </w:pPr>
      <w:bookmarkStart w:id="62" w:name="_Toc134226411"/>
      <w:r w:rsidRPr="00913D81">
        <w:rPr>
          <w:rFonts w:cs="Arial"/>
          <w:w w:val="105"/>
          <w:szCs w:val="24"/>
        </w:rPr>
        <w:t>L’indicateur</w:t>
      </w:r>
      <w:r w:rsidRPr="00913D81">
        <w:rPr>
          <w:rFonts w:cs="Arial"/>
          <w:b/>
          <w:bCs/>
          <w:w w:val="105"/>
          <w:szCs w:val="24"/>
        </w:rPr>
        <w:t> Infrastructures ferroviaires</w:t>
      </w:r>
      <w:r w:rsidRPr="00913D81">
        <w:rPr>
          <w:rFonts w:cs="Arial"/>
          <w:w w:val="105"/>
          <w:szCs w:val="24"/>
        </w:rPr>
        <w:t xml:space="preserve"> évalue l’efficacité des services ferroviaires en prenant en compte leur fréquence, leur ponctualité, leur vitesse et leur prix. Celui dénommé </w:t>
      </w:r>
      <w:r w:rsidRPr="00913D81">
        <w:rPr>
          <w:rFonts w:cs="Arial"/>
          <w:b/>
          <w:bCs/>
          <w:w w:val="105"/>
          <w:szCs w:val="24"/>
        </w:rPr>
        <w:t>Infrastructures aériennes</w:t>
      </w:r>
      <w:r w:rsidRPr="00913D81">
        <w:rPr>
          <w:rFonts w:cs="Arial"/>
          <w:w w:val="105"/>
          <w:szCs w:val="24"/>
        </w:rPr>
        <w:t> évalue la qualité des aéroports, aussi bien au niveau de leur envergure que de leur état. S’agissant de l’indicateur composite </w:t>
      </w:r>
      <w:r w:rsidRPr="00913D81">
        <w:rPr>
          <w:rFonts w:cs="Arial"/>
          <w:b/>
          <w:bCs/>
          <w:w w:val="105"/>
          <w:szCs w:val="24"/>
        </w:rPr>
        <w:t>réseau de transport</w:t>
      </w:r>
      <w:r w:rsidRPr="00913D81">
        <w:rPr>
          <w:rFonts w:cs="Arial"/>
          <w:w w:val="105"/>
          <w:szCs w:val="24"/>
        </w:rPr>
        <w:t>, il évalue l’ampleur du réseau routier total en kilomètre (par km2 de zone continentale exploitable) et la totalité des routes à revêtement en dur (en kilomètre par 10 000 habitants) dans un pays. Quant à l’indicateur </w:t>
      </w:r>
      <w:r w:rsidRPr="00913D81">
        <w:rPr>
          <w:rFonts w:cs="Arial"/>
          <w:b/>
          <w:bCs/>
          <w:w w:val="105"/>
          <w:szCs w:val="24"/>
        </w:rPr>
        <w:t>accès à l’énergie</w:t>
      </w:r>
      <w:r w:rsidRPr="00913D81">
        <w:rPr>
          <w:rFonts w:cs="Arial"/>
          <w:w w:val="105"/>
          <w:szCs w:val="24"/>
        </w:rPr>
        <w:t>, il évalue la mesure dans laquelle la population d’un pays a accès à l’électricité et à des combustibles de cuisson propres. Ces différents indices sont calibrés dans une échelle de 0 à 100, et plus la valeur est élevée, plus la situation est bonne.</w:t>
      </w:r>
    </w:p>
    <w:p w14:paraId="3AB8A0C3" w14:textId="48CB574F" w:rsidR="002F5B82" w:rsidRDefault="00223F95" w:rsidP="00FC2505">
      <w:pPr>
        <w:pStyle w:val="Lgende"/>
        <w:spacing w:after="120"/>
        <w:rPr>
          <w:rFonts w:ascii="Tw Cen MT" w:hAnsi="Tw Cen MT" w:cs="Arial"/>
          <w:i w:val="0"/>
          <w:color w:val="auto"/>
          <w:sz w:val="24"/>
          <w:szCs w:val="24"/>
        </w:rPr>
      </w:pPr>
      <w:bookmarkStart w:id="63" w:name="_Toc135140215"/>
      <w:r>
        <w:rPr>
          <w:rFonts w:ascii="Tahoma" w:hAnsi="Tahoma" w:cs="Tahoma"/>
          <w:noProof/>
          <w:sz w:val="22"/>
        </w:rPr>
        <w:lastRenderedPageBreak/>
        <w:drawing>
          <wp:anchor distT="0" distB="0" distL="114300" distR="114300" simplePos="0" relativeHeight="251800576" behindDoc="0" locked="0" layoutInCell="1" allowOverlap="1" wp14:anchorId="3D2394B8" wp14:editId="5C946CD6">
            <wp:simplePos x="0" y="0"/>
            <wp:positionH relativeFrom="margin">
              <wp:posOffset>73347</wp:posOffset>
            </wp:positionH>
            <wp:positionV relativeFrom="paragraph">
              <wp:posOffset>303629</wp:posOffset>
            </wp:positionV>
            <wp:extent cx="5605145" cy="2261870"/>
            <wp:effectExtent l="0" t="0" r="14605" b="5080"/>
            <wp:wrapSquare wrapText="bothSides"/>
            <wp:docPr id="29" name="Graphique 29">
              <a:extLst xmlns:a="http://schemas.openxmlformats.org/drawingml/2006/main">
                <a:ext uri="{FF2B5EF4-FFF2-40B4-BE49-F238E27FC236}">
                  <a16:creationId xmlns:lc="http://schemas.openxmlformats.org/drawingml/2006/lockedCanva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740E3124-6956-C6DC-4BFB-4B47A3890D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page">
              <wp14:pctWidth>0</wp14:pctWidth>
            </wp14:sizeRelH>
            <wp14:sizeRelV relativeFrom="page">
              <wp14:pctHeight>0</wp14:pctHeight>
            </wp14:sizeRelV>
          </wp:anchor>
        </w:drawing>
      </w:r>
      <w:r w:rsidR="002F5B82" w:rsidRPr="00223F95">
        <w:rPr>
          <w:rFonts w:ascii="Tw Cen MT" w:hAnsi="Tw Cen MT" w:cs="Arial"/>
          <w:b/>
          <w:bCs/>
          <w:i w:val="0"/>
          <w:color w:val="auto"/>
          <w:sz w:val="24"/>
          <w:szCs w:val="24"/>
          <w:u w:val="single"/>
        </w:rPr>
        <w:t xml:space="preserve">Graphique </w:t>
      </w:r>
      <w:r w:rsidR="002F5B82" w:rsidRPr="00223F95">
        <w:rPr>
          <w:rFonts w:ascii="Tw Cen MT" w:hAnsi="Tw Cen MT" w:cs="Arial"/>
          <w:b/>
          <w:bCs/>
          <w:i w:val="0"/>
          <w:color w:val="auto"/>
          <w:sz w:val="24"/>
          <w:szCs w:val="24"/>
          <w:u w:val="single"/>
        </w:rPr>
        <w:fldChar w:fldCharType="begin"/>
      </w:r>
      <w:r w:rsidR="002F5B82" w:rsidRPr="00223F95">
        <w:rPr>
          <w:rFonts w:ascii="Tw Cen MT" w:hAnsi="Tw Cen MT" w:cs="Arial"/>
          <w:b/>
          <w:bCs/>
          <w:i w:val="0"/>
          <w:color w:val="auto"/>
          <w:sz w:val="24"/>
          <w:szCs w:val="24"/>
          <w:u w:val="single"/>
        </w:rPr>
        <w:instrText xml:space="preserve"> SEQ Graphique \* ARABIC </w:instrText>
      </w:r>
      <w:r w:rsidR="002F5B82" w:rsidRPr="00223F95">
        <w:rPr>
          <w:rFonts w:ascii="Tw Cen MT" w:hAnsi="Tw Cen MT" w:cs="Arial"/>
          <w:b/>
          <w:bCs/>
          <w:i w:val="0"/>
          <w:color w:val="auto"/>
          <w:sz w:val="24"/>
          <w:szCs w:val="24"/>
          <w:u w:val="single"/>
        </w:rPr>
        <w:fldChar w:fldCharType="separate"/>
      </w:r>
      <w:r w:rsidR="002F5B82" w:rsidRPr="00223F95">
        <w:rPr>
          <w:rFonts w:ascii="Tw Cen MT" w:hAnsi="Tw Cen MT" w:cs="Arial"/>
          <w:b/>
          <w:bCs/>
          <w:i w:val="0"/>
          <w:color w:val="auto"/>
          <w:sz w:val="24"/>
          <w:szCs w:val="24"/>
          <w:u w:val="single"/>
        </w:rPr>
        <w:t>10</w:t>
      </w:r>
      <w:r w:rsidR="002F5B82" w:rsidRPr="00223F95">
        <w:rPr>
          <w:rFonts w:ascii="Tw Cen MT" w:hAnsi="Tw Cen MT" w:cs="Arial"/>
          <w:b/>
          <w:bCs/>
          <w:i w:val="0"/>
          <w:color w:val="auto"/>
          <w:sz w:val="24"/>
          <w:szCs w:val="24"/>
          <w:u w:val="single"/>
        </w:rPr>
        <w:fldChar w:fldCharType="end"/>
      </w:r>
      <w:r>
        <w:rPr>
          <w:rFonts w:ascii="Tw Cen MT" w:hAnsi="Tw Cen MT" w:cs="Arial"/>
          <w:b/>
          <w:bCs/>
          <w:i w:val="0"/>
          <w:color w:val="auto"/>
          <w:sz w:val="24"/>
          <w:szCs w:val="24"/>
          <w:u w:val="single"/>
        </w:rPr>
        <w:t xml:space="preserve"> </w:t>
      </w:r>
      <w:r w:rsidR="002F5B82" w:rsidRPr="00223F95">
        <w:rPr>
          <w:rFonts w:ascii="Tw Cen MT" w:hAnsi="Tw Cen MT" w:cs="Arial"/>
          <w:b/>
          <w:bCs/>
          <w:i w:val="0"/>
          <w:color w:val="auto"/>
          <w:sz w:val="24"/>
          <w:szCs w:val="24"/>
          <w:u w:val="single"/>
        </w:rPr>
        <w:t>:</w:t>
      </w:r>
      <w:r w:rsidR="002F5B82">
        <w:rPr>
          <w:rFonts w:ascii="Arial" w:hAnsi="Arial" w:cs="Arial"/>
          <w:color w:val="auto"/>
          <w:sz w:val="28"/>
          <w:szCs w:val="28"/>
        </w:rPr>
        <w:t xml:space="preserve"> </w:t>
      </w:r>
      <w:r w:rsidR="002F5B82" w:rsidRPr="00223F95">
        <w:rPr>
          <w:rFonts w:ascii="Tw Cen MT" w:hAnsi="Tw Cen MT" w:cs="Arial"/>
          <w:i w:val="0"/>
          <w:color w:val="auto"/>
          <w:sz w:val="24"/>
          <w:szCs w:val="24"/>
        </w:rPr>
        <w:t>Infrastructures de transport et accès à l'énergie</w:t>
      </w:r>
      <w:bookmarkEnd w:id="62"/>
      <w:bookmarkEnd w:id="63"/>
    </w:p>
    <w:p w14:paraId="79ADBF5C" w14:textId="77777777" w:rsidR="002922C5" w:rsidRDefault="002922C5" w:rsidP="00FC2505">
      <w:pPr>
        <w:rPr>
          <w:rFonts w:cs="Arial"/>
          <w:b/>
          <w:i/>
          <w:sz w:val="20"/>
          <w:szCs w:val="20"/>
          <w:u w:val="single"/>
        </w:rPr>
      </w:pPr>
    </w:p>
    <w:p w14:paraId="30BBD19F" w14:textId="7CD7B0FC" w:rsidR="00223F95" w:rsidRPr="00223F95" w:rsidRDefault="002922C5" w:rsidP="00FC2505">
      <w:pPr>
        <w:rPr>
          <w:lang w:eastAsia="fr-FR"/>
        </w:rPr>
      </w:pPr>
      <w:r w:rsidRPr="0023292F">
        <w:rPr>
          <w:rFonts w:cs="Arial"/>
          <w:b/>
          <w:i/>
          <w:sz w:val="20"/>
          <w:szCs w:val="20"/>
          <w:u w:val="single"/>
        </w:rPr>
        <w:t>Source</w:t>
      </w:r>
      <w:r w:rsidRPr="0023292F">
        <w:rPr>
          <w:rFonts w:cs="Arial"/>
          <w:b/>
          <w:i/>
          <w:sz w:val="20"/>
          <w:szCs w:val="20"/>
        </w:rPr>
        <w:t> :</w:t>
      </w:r>
    </w:p>
    <w:p w14:paraId="53ABD727" w14:textId="77777777" w:rsidR="002922C5" w:rsidRPr="00913D81" w:rsidRDefault="002922C5" w:rsidP="00FC2505">
      <w:pPr>
        <w:ind w:right="57"/>
        <w:rPr>
          <w:rFonts w:cs="Arial"/>
          <w:w w:val="105"/>
          <w:szCs w:val="24"/>
        </w:rPr>
      </w:pPr>
      <w:r w:rsidRPr="00913D81">
        <w:rPr>
          <w:rFonts w:cs="Arial"/>
          <w:w w:val="105"/>
          <w:szCs w:val="24"/>
        </w:rPr>
        <w:t>Le retard accusé par le Sénégal en matière d’infrastructures de qualité est largement illustré par l’insuffisance relative de l’accès à l’énergie (46.8 sur une échelle de 100). Ce retard est aussi reflété par l’insatisfaction notée dans le cadre de l’utilisation du réseau de transport routier (42.3) et du recours aux infrastructures ferroviaires (44). C’est uniquement au niveau des infrastructures aériennes assez performantes (76.2) que la population ressent une nette satisfaction. Ainsi, d’importants efforts sont à consentir pour améliorer la situation, notamment en matière d’accès à l’énergie, et pour rendre davantage modernes et performantes les infrastructures routières et ferroviaires.</w:t>
      </w:r>
    </w:p>
    <w:p w14:paraId="0269CF55" w14:textId="77777777" w:rsidR="002922C5" w:rsidRPr="00913D81" w:rsidRDefault="002922C5" w:rsidP="00FC2505">
      <w:pPr>
        <w:ind w:right="57"/>
        <w:rPr>
          <w:rFonts w:cs="Arial"/>
          <w:w w:val="105"/>
          <w:szCs w:val="24"/>
        </w:rPr>
      </w:pPr>
      <w:r w:rsidRPr="00913D81">
        <w:rPr>
          <w:rFonts w:cs="Arial"/>
          <w:w w:val="105"/>
          <w:szCs w:val="24"/>
        </w:rPr>
        <w:t>Il est vrai que le Sénégal, en tant que capitale fédérale, a hérité d’infrastructures de qualité comparativement à d’autres pays, mais il n’est pas évident que ces infrastructures aient été conçues à des fins d’intégration. Cependant au regard de l’idéal d’intégration prôné, le Sénégal a engagé une politique résolue de mise en place d’infrastructures de qualité reliant le pays au reste de la région. A l’heure actuelle le pari de la connexion avec la région est en passe d’être gagné avec le développement des différentes formes d’accès (routier, maritime, aérien et fluvial).</w:t>
      </w:r>
    </w:p>
    <w:p w14:paraId="3043B364" w14:textId="77777777" w:rsidR="002922C5" w:rsidRPr="00913D81" w:rsidRDefault="002922C5" w:rsidP="00FC2505">
      <w:pPr>
        <w:ind w:right="57"/>
        <w:rPr>
          <w:rFonts w:eastAsia="Times New Roman" w:cs="Arial"/>
          <w:szCs w:val="24"/>
          <w:lang w:eastAsia="fr-FR"/>
        </w:rPr>
      </w:pPr>
      <w:r w:rsidRPr="00913D81">
        <w:rPr>
          <w:rFonts w:eastAsia="Times New Roman" w:cs="Arial"/>
          <w:b/>
          <w:bCs/>
          <w:szCs w:val="24"/>
          <w:lang w:eastAsia="fr-FR"/>
        </w:rPr>
        <w:t>En matière de commerce des services,</w:t>
      </w:r>
      <w:r w:rsidRPr="00913D81">
        <w:rPr>
          <w:rFonts w:eastAsia="Times New Roman" w:cs="Arial"/>
          <w:szCs w:val="24"/>
          <w:lang w:eastAsia="fr-FR"/>
        </w:rPr>
        <w:t xml:space="preserve"> le Sénégal affiche un grand potentiel pour devenir un centre régional pour les services, notamment dans les domaines de la finance, des technologies de l'information et de la communication, et de la logistique. Aujourd’hui, des multinationales comme Orange, Microsoft, Google et IBM ont ouvert des bureaux au Sénégal pour offrir des services à toute la région. Les objectifs recherchés sont, entre autres, de renforcer son positionnement comme point d’entrée privilégiée du transit de la sous-région et comme un puissant centre d’attraction de capitaux étrangers au niveau régional. Il a une part de près de 30% sur les exportations totales de services de l’UEMOA. La part des services dans son PIB s’estime à près de 60%, raison pour laquelle l’Etat a accordé une importance capitale aux services, secteur dans lequel, il a un avantage comparatif par rapport aux autres pays de l’Afrique de l’Ouest.</w:t>
      </w:r>
    </w:p>
    <w:p w14:paraId="3045D00F" w14:textId="77777777" w:rsidR="002922C5" w:rsidRPr="00913D81" w:rsidRDefault="002922C5" w:rsidP="00FC2505">
      <w:pPr>
        <w:ind w:right="57"/>
        <w:rPr>
          <w:rFonts w:cs="Arial"/>
          <w:w w:val="105"/>
          <w:szCs w:val="24"/>
        </w:rPr>
      </w:pPr>
      <w:r w:rsidRPr="00913D81">
        <w:rPr>
          <w:rFonts w:cs="Arial"/>
          <w:b/>
          <w:bCs/>
          <w:w w:val="105"/>
          <w:szCs w:val="24"/>
        </w:rPr>
        <w:t xml:space="preserve">Sur le plan des télécommunications, </w:t>
      </w:r>
      <w:r w:rsidRPr="00913D81">
        <w:rPr>
          <w:rFonts w:cs="Arial"/>
          <w:w w:val="105"/>
          <w:szCs w:val="24"/>
        </w:rPr>
        <w:t xml:space="preserve">le Sénégal dispose d’un des meilleurs systèmes de la région, de sorte que le recours aux technologies modernes de l’information et de la communication est en constante progression. A ce titre, il dispose d’infrastructures modernes </w:t>
      </w:r>
      <w:r w:rsidRPr="00913D81">
        <w:rPr>
          <w:rFonts w:cs="Arial"/>
          <w:w w:val="105"/>
          <w:szCs w:val="24"/>
        </w:rPr>
        <w:lastRenderedPageBreak/>
        <w:t xml:space="preserve">en matière de digitalisation comme le super calculateur et le data center qui est doté d’une grande capacité. </w:t>
      </w:r>
    </w:p>
    <w:p w14:paraId="014B99EF" w14:textId="77777777" w:rsidR="002922C5" w:rsidRPr="00913D81" w:rsidRDefault="002922C5" w:rsidP="00FC2505">
      <w:pPr>
        <w:ind w:right="57"/>
        <w:rPr>
          <w:rFonts w:cs="Arial"/>
          <w:w w:val="105"/>
          <w:szCs w:val="24"/>
        </w:rPr>
      </w:pPr>
      <w:r w:rsidRPr="00913D81">
        <w:rPr>
          <w:rFonts w:eastAsia="Times New Roman" w:cs="Arial"/>
          <w:b/>
          <w:bCs/>
          <w:szCs w:val="24"/>
          <w:lang w:eastAsia="fr-FR"/>
        </w:rPr>
        <w:t>Concernant les services d’éducation,</w:t>
      </w:r>
      <w:r w:rsidRPr="00913D81">
        <w:rPr>
          <w:rFonts w:eastAsia="Times New Roman" w:cs="Arial"/>
          <w:szCs w:val="24"/>
          <w:lang w:eastAsia="fr-FR"/>
        </w:rPr>
        <w:t xml:space="preserve"> </w:t>
      </w:r>
      <w:r w:rsidRPr="00913D81">
        <w:rPr>
          <w:rFonts w:cs="Arial"/>
          <w:w w:val="105"/>
          <w:szCs w:val="24"/>
        </w:rPr>
        <w:t xml:space="preserve">le Sénégal a défini de nouvelles orientations stratégiques dans un contexte marqué par les grandes problématiques que sont la relance et le maintien d’une croissance économique soutenue, le changement climatique et la transition énergétique. Il s’est engagé à faire face à nombre de défis tels que le développement d’un système d’enseignement supérieur résilient ; la capacité à répondre à l’accroissement de la demande d’accès découlant des progrès réalisés en matière de scolarisation universelle ; le développement de la recherche et de l’innovation sur la base d’un agenda scientifique national ainsi que l’employabilité et l’insertion professionnelle des diplômés. </w:t>
      </w:r>
    </w:p>
    <w:p w14:paraId="4C5D0811" w14:textId="77777777" w:rsidR="002922C5" w:rsidRPr="00913D81" w:rsidRDefault="002922C5" w:rsidP="00FC2505">
      <w:pPr>
        <w:ind w:right="57"/>
        <w:rPr>
          <w:rFonts w:eastAsia="Times New Roman" w:cs="Arial"/>
          <w:szCs w:val="24"/>
          <w:lang w:eastAsia="fr-FR"/>
        </w:rPr>
      </w:pPr>
      <w:r w:rsidRPr="00913D81">
        <w:rPr>
          <w:rFonts w:eastAsia="Times New Roman" w:cs="Arial"/>
          <w:szCs w:val="24"/>
          <w:lang w:eastAsia="fr-FR"/>
        </w:rPr>
        <w:t>Des réalisations concrètes ont aussi été notées dans bon nombres de projets. Pour les campus régionaux par exemple, l’ambition est de faire du Sénégal le centre d’enseignement supérieur de référence de la sous-région. Au titre de ce projet, on comptabilise les réalisations suivantes : la construction de l’Université Amadou Mahtar Mbow (UAM) de Diamniadio, la construction de l’Université du Sine Saloum dénommée Université El Hadj Ibrahima Niasse (USSEIN) et la construction de la Cité du Savoir. Pour cette dernière, la médiathèque et le centre de mutualisation et de partage seraient réalisés à plus de 95%. L’enseignement supérieur dans le domaine du numérique capte seulement 7,4% de la population.</w:t>
      </w:r>
    </w:p>
    <w:p w14:paraId="280B4E64" w14:textId="77777777" w:rsidR="002922C5" w:rsidRPr="00913D81" w:rsidRDefault="002922C5" w:rsidP="00FC2505">
      <w:pPr>
        <w:ind w:right="57"/>
        <w:rPr>
          <w:rFonts w:eastAsia="Times New Roman" w:cs="Arial"/>
          <w:szCs w:val="24"/>
          <w:lang w:eastAsia="fr-FR"/>
        </w:rPr>
      </w:pPr>
      <w:r w:rsidRPr="00913D81">
        <w:rPr>
          <w:rFonts w:eastAsia="Times New Roman" w:cs="Arial"/>
          <w:b/>
          <w:bCs/>
          <w:szCs w:val="24"/>
          <w:lang w:eastAsia="fr-FR"/>
        </w:rPr>
        <w:t>S’agissant des services médicaux,</w:t>
      </w:r>
      <w:r w:rsidRPr="00913D81">
        <w:rPr>
          <w:rFonts w:eastAsia="Times New Roman" w:cs="Arial"/>
          <w:szCs w:val="24"/>
          <w:lang w:eastAsia="fr-FR"/>
        </w:rPr>
        <w:t xml:space="preserve"> le Sénégal fait partie des </w:t>
      </w:r>
      <w:r w:rsidRPr="00913D81">
        <w:rPr>
          <w:rFonts w:cs="Arial"/>
          <w:szCs w:val="24"/>
        </w:rPr>
        <w:t xml:space="preserve">pays d’Afrique ayant les meilleurs soins de santé. Il occupe la troisième place derrière le Maroc et la Tunisie. L’expertise sénégalaise en matière de santé est reconnue de tous, avec des praticiens de renom rompus à la tâche. En outre, le Sénégal dispose par ailleurs d’une faculté de médecine qui forme notamment des ressortissants de la sous-région et du Maghreb. A travers </w:t>
      </w:r>
      <w:r w:rsidRPr="00913D81">
        <w:rPr>
          <w:rFonts w:eastAsia="Times New Roman" w:cs="Arial"/>
          <w:szCs w:val="24"/>
          <w:lang w:eastAsia="fr-FR"/>
        </w:rPr>
        <w:t xml:space="preserve">le projet Dakar Medical City, le Gouvernement a pour objectif de faire du Sénégal le centre de soins de référence de la région à travers notamment le relèvement du plateau médical aux standards internationaux, le développement de centres tertiaires de renommée et la mise en place de cliniques privées aux standards internationaux pour répondre à une demande annuelle de dix mille (10.000) patients supplémentaires en provenance de la sous-région. </w:t>
      </w:r>
    </w:p>
    <w:p w14:paraId="54CB2BF1" w14:textId="77777777" w:rsidR="002922C5" w:rsidRPr="00913D81" w:rsidRDefault="002922C5" w:rsidP="00FC2505">
      <w:pPr>
        <w:ind w:right="57"/>
        <w:rPr>
          <w:rFonts w:eastAsia="Times New Roman" w:cs="Arial"/>
          <w:szCs w:val="24"/>
          <w:lang w:eastAsia="fr-FR"/>
        </w:rPr>
      </w:pPr>
      <w:r w:rsidRPr="00913D81">
        <w:rPr>
          <w:rFonts w:eastAsia="Times New Roman" w:cs="Arial"/>
          <w:szCs w:val="24"/>
          <w:lang w:eastAsia="fr-FR"/>
        </w:rPr>
        <w:t>On peut aussi relever, entre autres, la mise en place du centre de Cardio-pédiatrie (CUOMO), de l’institut de recherche en santé de surveillance épidémiologique et formation (IRESSEF), de l’usine de production de solutés médicaux (Parenterus), de quatre (4) hôpitaux régionaux, à savoir les hôpitaux à Kaffrine, Kédougou, Touba et Sédhiou pour un total de 750 lits avec un plateau technique de dernière génération. Ces infrastructures sanitaires contribueront ainsi à faire de notre pays un hub sanitaire de référence pour la sous-région.</w:t>
      </w:r>
    </w:p>
    <w:p w14:paraId="11619FAF" w14:textId="77777777" w:rsidR="002922C5" w:rsidRPr="00913D81" w:rsidRDefault="002922C5" w:rsidP="00FC2505">
      <w:pPr>
        <w:ind w:right="57"/>
        <w:rPr>
          <w:rFonts w:eastAsia="Times New Roman" w:cs="Arial"/>
          <w:szCs w:val="24"/>
          <w:lang w:eastAsia="fr-FR"/>
        </w:rPr>
      </w:pPr>
      <w:r w:rsidRPr="00913D81">
        <w:rPr>
          <w:rFonts w:eastAsia="Times New Roman" w:cs="Arial"/>
          <w:b/>
          <w:bCs/>
          <w:szCs w:val="24"/>
          <w:lang w:eastAsia="fr-FR"/>
        </w:rPr>
        <w:t>Concernant l’économie numérique,</w:t>
      </w:r>
      <w:r w:rsidRPr="00913D81">
        <w:rPr>
          <w:rFonts w:eastAsia="Times New Roman" w:cs="Arial"/>
          <w:szCs w:val="24"/>
          <w:lang w:eastAsia="fr-FR"/>
        </w:rPr>
        <w:t xml:space="preserve"> le projet phare dénommé « </w:t>
      </w:r>
      <w:r w:rsidRPr="00913D81">
        <w:rPr>
          <w:rFonts w:eastAsia="Times New Roman" w:cs="Arial"/>
          <w:i/>
          <w:iCs/>
          <w:szCs w:val="24"/>
          <w:lang w:eastAsia="fr-FR"/>
        </w:rPr>
        <w:t xml:space="preserve">Economie numérique-zones dédiées prêtes à l’emploi </w:t>
      </w:r>
      <w:r w:rsidRPr="00913D81">
        <w:rPr>
          <w:rFonts w:eastAsia="Times New Roman" w:cs="Arial"/>
          <w:szCs w:val="24"/>
          <w:lang w:eastAsia="fr-FR"/>
        </w:rPr>
        <w:t xml:space="preserve">» ambitionne de faire du Sénégal le leader en Afrique subsaharienne francophone en matière d’externalisation des services numériques (offshoring) à l’horizon 2023.  Dans ce cadre, deux (2) zones dédiées, prêtes à l’emploi et disposant d’un cadre de régulation attractif, seront créées avec une première phase constituée du Parc des Technologies Numérique (PTN). Ce dernier est financé par l’Etat du Sénégal et par la Banque Africaine de Développement (BAD) pour un montant global de 46,314 milliards de francs CFA. </w:t>
      </w:r>
    </w:p>
    <w:p w14:paraId="24BB5268" w14:textId="6937BBF6" w:rsidR="004A5ADB" w:rsidRPr="00223F95" w:rsidRDefault="002922C5" w:rsidP="00FC2505">
      <w:pPr>
        <w:ind w:right="57"/>
        <w:rPr>
          <w:rFonts w:eastAsia="Times New Roman" w:cs="Arial"/>
          <w:szCs w:val="24"/>
          <w:lang w:eastAsia="fr-FR"/>
        </w:rPr>
      </w:pPr>
      <w:r w:rsidRPr="00913D81">
        <w:rPr>
          <w:rFonts w:cs="Arial"/>
          <w:szCs w:val="24"/>
        </w:rPr>
        <w:t xml:space="preserve">L’accès au haut débit mobile demeure un défi avec un coût équivalent en moyenne à 12% du revenu brut mensuel par habitant au Sénégal contre 6% au Kenya. Il est encore limité dans les </w:t>
      </w:r>
      <w:r w:rsidRPr="00913D81">
        <w:rPr>
          <w:rFonts w:cs="Arial"/>
          <w:szCs w:val="24"/>
        </w:rPr>
        <w:lastRenderedPageBreak/>
        <w:t>villes secondaires et le réseau 4G n’est pas encore complétement déployé malgré l’existence d’un spectre radio adéquat pour la fourniture des services de connectivité. Les centres de données opèrent encore en silo pour cause de limites dans la stratégie d’intégration et de partage. Le système d’identification biométrique des citoyens est opérationnel pour 75% de la population et le déploiement du système de taxation numérique est à accélérer</w:t>
      </w:r>
      <w:r w:rsidR="004A5ADB">
        <w:rPr>
          <w:rFonts w:cs="Arial"/>
          <w:szCs w:val="24"/>
        </w:rPr>
        <w:t>.</w:t>
      </w:r>
    </w:p>
    <w:p w14:paraId="41551B33" w14:textId="05313A28" w:rsidR="004A5ADB" w:rsidRPr="00223F95" w:rsidRDefault="00223F95" w:rsidP="004A5ADB">
      <w:pPr>
        <w:pStyle w:val="Lgende"/>
        <w:keepNext/>
        <w:spacing w:line="276" w:lineRule="auto"/>
        <w:rPr>
          <w:rFonts w:ascii="Tw Cen MT" w:hAnsi="Tw Cen MT" w:cs="Arial"/>
          <w:i w:val="0"/>
          <w:color w:val="auto"/>
          <w:sz w:val="24"/>
          <w:szCs w:val="24"/>
        </w:rPr>
      </w:pPr>
      <w:bookmarkStart w:id="64" w:name="_Toc134226412"/>
      <w:bookmarkStart w:id="65" w:name="_Toc135140216"/>
      <w:r>
        <w:rPr>
          <w:rFonts w:cs="Arial"/>
          <w:noProof/>
          <w:color w:val="FF0000"/>
          <w:szCs w:val="24"/>
        </w:rPr>
        <w:drawing>
          <wp:anchor distT="0" distB="0" distL="114300" distR="114300" simplePos="0" relativeHeight="251810816" behindDoc="0" locked="0" layoutInCell="1" allowOverlap="1" wp14:anchorId="30E1D43D" wp14:editId="58AADD84">
            <wp:simplePos x="0" y="0"/>
            <wp:positionH relativeFrom="margin">
              <wp:align>left</wp:align>
            </wp:positionH>
            <wp:positionV relativeFrom="paragraph">
              <wp:posOffset>274576</wp:posOffset>
            </wp:positionV>
            <wp:extent cx="5616575" cy="2941320"/>
            <wp:effectExtent l="0" t="0" r="3175" b="11430"/>
            <wp:wrapTopAndBottom/>
            <wp:docPr id="18" name="Graphique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page">
              <wp14:pctWidth>0</wp14:pctWidth>
            </wp14:sizeRelH>
            <wp14:sizeRelV relativeFrom="page">
              <wp14:pctHeight>0</wp14:pctHeight>
            </wp14:sizeRelV>
          </wp:anchor>
        </w:drawing>
      </w:r>
      <w:r w:rsidR="004A5ADB" w:rsidRPr="00223F95">
        <w:rPr>
          <w:rFonts w:ascii="Tw Cen MT" w:hAnsi="Tw Cen MT" w:cs="Arial"/>
          <w:b/>
          <w:bCs/>
          <w:i w:val="0"/>
          <w:color w:val="auto"/>
          <w:sz w:val="24"/>
          <w:szCs w:val="24"/>
          <w:u w:val="single"/>
        </w:rPr>
        <w:t xml:space="preserve">Graphique </w:t>
      </w:r>
      <w:r w:rsidR="004A5ADB" w:rsidRPr="00223F95">
        <w:rPr>
          <w:rFonts w:ascii="Tw Cen MT" w:hAnsi="Tw Cen MT"/>
          <w:i w:val="0"/>
        </w:rPr>
        <w:fldChar w:fldCharType="begin"/>
      </w:r>
      <w:r w:rsidR="004A5ADB" w:rsidRPr="00223F95">
        <w:rPr>
          <w:rFonts w:ascii="Tw Cen MT" w:hAnsi="Tw Cen MT" w:cs="Arial"/>
          <w:b/>
          <w:bCs/>
          <w:i w:val="0"/>
          <w:color w:val="auto"/>
          <w:sz w:val="24"/>
          <w:szCs w:val="24"/>
          <w:u w:val="single"/>
        </w:rPr>
        <w:instrText xml:space="preserve"> SEQ Graphique \* ARABIC </w:instrText>
      </w:r>
      <w:r w:rsidR="004A5ADB" w:rsidRPr="00223F95">
        <w:rPr>
          <w:rFonts w:ascii="Tw Cen MT" w:hAnsi="Tw Cen MT"/>
          <w:i w:val="0"/>
        </w:rPr>
        <w:fldChar w:fldCharType="separate"/>
      </w:r>
      <w:r w:rsidR="004A5ADB" w:rsidRPr="00223F95">
        <w:rPr>
          <w:rFonts w:ascii="Tw Cen MT" w:hAnsi="Tw Cen MT" w:cs="Arial"/>
          <w:b/>
          <w:bCs/>
          <w:i w:val="0"/>
          <w:noProof/>
          <w:color w:val="auto"/>
          <w:sz w:val="24"/>
          <w:szCs w:val="24"/>
          <w:u w:val="single"/>
        </w:rPr>
        <w:t>11</w:t>
      </w:r>
      <w:r w:rsidR="004A5ADB" w:rsidRPr="00223F95">
        <w:rPr>
          <w:rFonts w:ascii="Tw Cen MT" w:hAnsi="Tw Cen MT"/>
          <w:i w:val="0"/>
        </w:rPr>
        <w:fldChar w:fldCharType="end"/>
      </w:r>
      <w:r w:rsidR="004A5ADB" w:rsidRPr="00223F95">
        <w:rPr>
          <w:rFonts w:ascii="Tw Cen MT" w:hAnsi="Tw Cen MT" w:cs="Arial"/>
          <w:i w:val="0"/>
          <w:color w:val="auto"/>
          <w:sz w:val="24"/>
          <w:szCs w:val="24"/>
        </w:rPr>
        <w:t>: Indice d’adoption du numérique au Sénégal et dans les pays choisis</w:t>
      </w:r>
      <w:bookmarkEnd w:id="64"/>
      <w:bookmarkEnd w:id="65"/>
    </w:p>
    <w:p w14:paraId="423E3E1B" w14:textId="001A1F59" w:rsidR="004A5ADB" w:rsidRPr="0023292F" w:rsidRDefault="004A5ADB" w:rsidP="00223F95">
      <w:pPr>
        <w:spacing w:before="240" w:after="0"/>
        <w:ind w:right="57"/>
        <w:rPr>
          <w:rFonts w:cs="Arial"/>
          <w:i/>
          <w:sz w:val="20"/>
          <w:szCs w:val="20"/>
        </w:rPr>
      </w:pPr>
      <w:r w:rsidRPr="0023292F">
        <w:rPr>
          <w:rFonts w:cs="Arial"/>
          <w:b/>
          <w:i/>
          <w:sz w:val="20"/>
          <w:szCs w:val="20"/>
          <w:u w:val="single"/>
        </w:rPr>
        <w:t>Source</w:t>
      </w:r>
      <w:r w:rsidRPr="0023292F">
        <w:rPr>
          <w:rFonts w:cs="Arial"/>
          <w:b/>
          <w:i/>
          <w:sz w:val="20"/>
          <w:szCs w:val="20"/>
        </w:rPr>
        <w:t> :</w:t>
      </w:r>
      <w:r w:rsidRPr="0023292F">
        <w:rPr>
          <w:rFonts w:cs="Arial"/>
          <w:i/>
          <w:sz w:val="20"/>
          <w:szCs w:val="20"/>
        </w:rPr>
        <w:t xml:space="preserve"> Digital Adoption Index-DAI</w:t>
      </w:r>
    </w:p>
    <w:p w14:paraId="4E2F69A9" w14:textId="77777777" w:rsidR="000A5323" w:rsidRPr="000A5323" w:rsidRDefault="000A5323" w:rsidP="000A5323">
      <w:pPr>
        <w:ind w:right="57"/>
        <w:rPr>
          <w:rFonts w:cs="Arial"/>
          <w:sz w:val="12"/>
          <w:szCs w:val="12"/>
        </w:rPr>
      </w:pPr>
    </w:p>
    <w:p w14:paraId="75F22212" w14:textId="77777777" w:rsidR="002922C5" w:rsidRPr="00913D81" w:rsidRDefault="002922C5" w:rsidP="002922C5">
      <w:pPr>
        <w:spacing w:after="60"/>
        <w:ind w:right="57"/>
        <w:rPr>
          <w:rFonts w:cs="Arial"/>
          <w:szCs w:val="24"/>
        </w:rPr>
      </w:pPr>
      <w:r w:rsidRPr="00913D81">
        <w:rPr>
          <w:rFonts w:cs="Arial"/>
          <w:szCs w:val="24"/>
        </w:rPr>
        <w:t>L’analyse du niveau d’adoption du numérique dans quelques pays africains montre que le Sénégal enregistre le plus faible indice (0.35) comparé à l’Afrique du Sud (0.64) et Maurice (0.62). Ce qui montre que des efforts doivent être fournis dans ce domaine.</w:t>
      </w:r>
    </w:p>
    <w:p w14:paraId="6512083E" w14:textId="77777777" w:rsidR="002922C5" w:rsidRPr="00913D81" w:rsidRDefault="002922C5" w:rsidP="002922C5">
      <w:pPr>
        <w:spacing w:after="60"/>
        <w:ind w:right="57"/>
        <w:rPr>
          <w:rFonts w:cs="Arial"/>
          <w:szCs w:val="24"/>
        </w:rPr>
      </w:pPr>
      <w:r w:rsidRPr="00913D81">
        <w:rPr>
          <w:rFonts w:cs="Arial"/>
          <w:szCs w:val="24"/>
        </w:rPr>
        <w:t>Les paiements mobiles concernent 6% des transactions commerciales avec seulement 1300 points de service. Les contraintes à leur développement sont la prévalence du cash, le manque d’inter opérabilité des paiements et le caractère non structuré des données de service supplémentaire.</w:t>
      </w:r>
    </w:p>
    <w:p w14:paraId="14BD5F15" w14:textId="7FD32E87" w:rsidR="004A5ADB" w:rsidRDefault="002922C5" w:rsidP="002922C5">
      <w:pPr>
        <w:ind w:right="57"/>
        <w:rPr>
          <w:rFonts w:cs="Arial"/>
          <w:szCs w:val="24"/>
        </w:rPr>
      </w:pPr>
      <w:r w:rsidRPr="00913D81">
        <w:rPr>
          <w:rFonts w:cs="Arial"/>
          <w:szCs w:val="24"/>
        </w:rPr>
        <w:t>L’entrepreneuriat numérique a permis de développer 15 incubateurs et accélérateurs qui sont au service de 2500 start-up et entrepreneurs. Les contraintes identifiées sont l’insuffisance des fonds d’amorçage de capital-risque, et l’insuffisance de l’effort concerté des entités étatiques dans la stimulation de l’économie numérique</w:t>
      </w:r>
      <w:r w:rsidR="004A5ADB">
        <w:rPr>
          <w:rFonts w:cs="Arial"/>
          <w:szCs w:val="24"/>
        </w:rPr>
        <w:t>.</w:t>
      </w:r>
    </w:p>
    <w:p w14:paraId="3FF56A44" w14:textId="02C745D2" w:rsidR="004A5ADB" w:rsidRPr="000A5323" w:rsidRDefault="000A5323" w:rsidP="000E368D">
      <w:pPr>
        <w:pStyle w:val="Titre4"/>
      </w:pPr>
      <w:bookmarkStart w:id="66" w:name="_Toc134287601"/>
      <w:bookmarkStart w:id="67" w:name="_Toc135140181"/>
      <w:r w:rsidRPr="000A5323">
        <w:t>III.</w:t>
      </w:r>
      <w:r w:rsidR="002922C5">
        <w:t>2</w:t>
      </w:r>
      <w:r w:rsidRPr="000A5323">
        <w:t>.</w:t>
      </w:r>
      <w:r w:rsidR="002922C5">
        <w:t>3</w:t>
      </w:r>
      <w:r w:rsidRPr="000A5323">
        <w:t xml:space="preserve">. </w:t>
      </w:r>
      <w:r w:rsidR="004A5ADB" w:rsidRPr="000A5323">
        <w:t>Gestion durable et concertée des ressources naturelles</w:t>
      </w:r>
      <w:bookmarkEnd w:id="66"/>
      <w:bookmarkEnd w:id="67"/>
      <w:r w:rsidR="004A5ADB" w:rsidRPr="000A5323">
        <w:t xml:space="preserve"> </w:t>
      </w:r>
    </w:p>
    <w:p w14:paraId="44FA910A" w14:textId="77777777" w:rsidR="004A5ADB" w:rsidRDefault="004A5ADB" w:rsidP="000A5323">
      <w:pPr>
        <w:tabs>
          <w:tab w:val="left" w:pos="3542"/>
        </w:tabs>
        <w:spacing w:before="120" w:after="100" w:afterAutospacing="1"/>
        <w:ind w:right="57"/>
        <w:rPr>
          <w:rFonts w:cs="Arial"/>
          <w:b/>
          <w:bCs/>
          <w:szCs w:val="24"/>
        </w:rPr>
      </w:pPr>
      <w:r>
        <w:rPr>
          <w:rFonts w:cs="Arial"/>
          <w:szCs w:val="24"/>
        </w:rPr>
        <w:t xml:space="preserve">Le Sénégal partage avec ses voisins de la région plusieurs ressources naturelles en pétrole, gaz, eau, forêts, etc., justifiant son adhésion à des organisations régionales telles que l’OMVS, et l’OMVG. La gestion commune des ressources naturelles constitue un enjeu pour le développement durable et pour la stabilité de la région. C’est pour cette raison que le Sénégal a convenu de faire un partage équitable de l’exploitation des gisements de gaz se situant au niveau de la frontière commune avec la Mauritanie. </w:t>
      </w:r>
      <w:r>
        <w:rPr>
          <w:rFonts w:cs="Arial"/>
          <w:szCs w:val="24"/>
          <w:highlight w:val="green"/>
        </w:rPr>
        <w:t>(Améliorer)</w:t>
      </w:r>
    </w:p>
    <w:p w14:paraId="5B9AFA68" w14:textId="56AC7609" w:rsidR="004A5ADB" w:rsidRDefault="000A5323" w:rsidP="000A5323">
      <w:pPr>
        <w:pStyle w:val="Titre2"/>
        <w:rPr>
          <w:b/>
        </w:rPr>
      </w:pPr>
      <w:bookmarkStart w:id="68" w:name="_Toc134287602"/>
      <w:bookmarkStart w:id="69" w:name="_Toc135140182"/>
      <w:r>
        <w:lastRenderedPageBreak/>
        <w:t xml:space="preserve">IV. </w:t>
      </w:r>
      <w:r w:rsidR="004A5ADB">
        <w:t>Enjeux et défis</w:t>
      </w:r>
      <w:bookmarkEnd w:id="68"/>
      <w:bookmarkEnd w:id="69"/>
    </w:p>
    <w:p w14:paraId="0D525E7C" w14:textId="77777777" w:rsidR="004A5ADB" w:rsidRDefault="004A5ADB" w:rsidP="004A5ADB">
      <w:pPr>
        <w:pStyle w:val="Corpsdetexte"/>
        <w:rPr>
          <w:rFonts w:cs="Arial"/>
          <w:b/>
          <w:bCs/>
          <w:szCs w:val="24"/>
        </w:rPr>
      </w:pPr>
      <w:r>
        <w:rPr>
          <w:rFonts w:cs="Arial"/>
          <w:szCs w:val="24"/>
        </w:rPr>
        <w:t xml:space="preserve">La stratégie d’intégration régionale suscite deux enjeux majeurs qui appellent plusieurs défis.  </w:t>
      </w:r>
    </w:p>
    <w:p w14:paraId="2BFF7352" w14:textId="231D94C0" w:rsidR="004A5ADB" w:rsidRPr="000A5323" w:rsidRDefault="000A5323" w:rsidP="000A5323">
      <w:pPr>
        <w:pStyle w:val="Titre3"/>
      </w:pPr>
      <w:bookmarkStart w:id="70" w:name="_Toc134287603"/>
      <w:bookmarkStart w:id="71" w:name="_Toc135140183"/>
      <w:r w:rsidRPr="000A5323">
        <w:t xml:space="preserve">IV.1. </w:t>
      </w:r>
      <w:r w:rsidR="004A5ADB" w:rsidRPr="000A5323">
        <w:t>Les enjeux</w:t>
      </w:r>
      <w:bookmarkEnd w:id="70"/>
      <w:bookmarkEnd w:id="71"/>
    </w:p>
    <w:p w14:paraId="44EA9279" w14:textId="77777777" w:rsidR="002922C5" w:rsidRPr="00913D81" w:rsidRDefault="002922C5" w:rsidP="002922C5">
      <w:pPr>
        <w:pStyle w:val="Corpsdetexte"/>
        <w:spacing w:after="60"/>
        <w:rPr>
          <w:rFonts w:cs="Arial"/>
          <w:w w:val="105"/>
          <w:szCs w:val="24"/>
        </w:rPr>
      </w:pPr>
      <w:bookmarkStart w:id="72" w:name="_Toc134287604"/>
      <w:r w:rsidRPr="00913D81">
        <w:rPr>
          <w:rFonts w:cs="Arial"/>
          <w:w w:val="105"/>
          <w:szCs w:val="24"/>
        </w:rPr>
        <w:t>Ils portent sur :</w:t>
      </w:r>
    </w:p>
    <w:p w14:paraId="760210E2" w14:textId="77777777" w:rsidR="002922C5" w:rsidRPr="00913D81" w:rsidRDefault="002922C5" w:rsidP="002922C5">
      <w:pPr>
        <w:pStyle w:val="Pardeliste"/>
        <w:numPr>
          <w:ilvl w:val="0"/>
          <w:numId w:val="34"/>
        </w:numPr>
        <w:shd w:val="clear" w:color="auto" w:fill="FFFFFF"/>
        <w:spacing w:after="60"/>
        <w:ind w:right="57"/>
        <w:contextualSpacing w:val="0"/>
        <w:rPr>
          <w:rFonts w:cs="Arial"/>
          <w:w w:val="105"/>
          <w:szCs w:val="24"/>
        </w:rPr>
      </w:pPr>
      <w:r w:rsidRPr="00913D81">
        <w:rPr>
          <w:rFonts w:cs="Arial"/>
          <w:w w:val="105"/>
          <w:szCs w:val="24"/>
        </w:rPr>
        <w:t>la promotion d’une économie plus compétitive ;</w:t>
      </w:r>
    </w:p>
    <w:p w14:paraId="484EA1A4" w14:textId="77777777" w:rsidR="002922C5" w:rsidRPr="00913D81" w:rsidRDefault="002922C5" w:rsidP="002922C5">
      <w:pPr>
        <w:pStyle w:val="Pardeliste"/>
        <w:numPr>
          <w:ilvl w:val="0"/>
          <w:numId w:val="34"/>
        </w:numPr>
        <w:shd w:val="clear" w:color="auto" w:fill="FFFFFF"/>
        <w:spacing w:after="60"/>
        <w:ind w:right="57"/>
        <w:contextualSpacing w:val="0"/>
        <w:rPr>
          <w:rFonts w:cs="Arial"/>
          <w:b/>
          <w:w w:val="105"/>
          <w:szCs w:val="24"/>
        </w:rPr>
      </w:pPr>
      <w:r w:rsidRPr="00913D81">
        <w:rPr>
          <w:rFonts w:cs="Arial"/>
          <w:w w:val="105"/>
          <w:szCs w:val="24"/>
        </w:rPr>
        <w:t>un meilleur positionnement stratégique du Sénégal.</w:t>
      </w:r>
    </w:p>
    <w:p w14:paraId="74092132" w14:textId="4C352333" w:rsidR="004A5ADB" w:rsidRDefault="000A5323" w:rsidP="000A5323">
      <w:pPr>
        <w:pStyle w:val="Titre3"/>
        <w:rPr>
          <w:rFonts w:cs="Arial"/>
          <w:w w:val="105"/>
        </w:rPr>
      </w:pPr>
      <w:bookmarkStart w:id="73" w:name="_Toc135140184"/>
      <w:r>
        <w:t>IV.2</w:t>
      </w:r>
      <w:r w:rsidRPr="000A5323">
        <w:t xml:space="preserve">. </w:t>
      </w:r>
      <w:r w:rsidR="004A5ADB">
        <w:rPr>
          <w:w w:val="105"/>
        </w:rPr>
        <w:t>Les défis</w:t>
      </w:r>
      <w:bookmarkEnd w:id="72"/>
      <w:bookmarkEnd w:id="73"/>
    </w:p>
    <w:p w14:paraId="6272F7A8" w14:textId="77777777" w:rsidR="003C5526" w:rsidRPr="003C5526" w:rsidRDefault="003C5526" w:rsidP="003C5526">
      <w:pPr>
        <w:shd w:val="clear" w:color="auto" w:fill="FFFFFF"/>
        <w:spacing w:after="60"/>
        <w:ind w:right="57"/>
        <w:rPr>
          <w:rFonts w:cs="Arial"/>
          <w:w w:val="105"/>
          <w:szCs w:val="24"/>
        </w:rPr>
      </w:pPr>
      <w:r w:rsidRPr="003C5526">
        <w:rPr>
          <w:rFonts w:cs="Arial"/>
          <w:w w:val="105"/>
          <w:szCs w:val="24"/>
        </w:rPr>
        <w:t>Les principaux défis identifiés sont relatifs à :</w:t>
      </w:r>
    </w:p>
    <w:p w14:paraId="6F93D546" w14:textId="77777777" w:rsidR="003C5526" w:rsidRPr="003C5526" w:rsidRDefault="003C5526" w:rsidP="003C5526">
      <w:pPr>
        <w:pStyle w:val="Pardeliste"/>
        <w:numPr>
          <w:ilvl w:val="0"/>
          <w:numId w:val="35"/>
        </w:numPr>
        <w:shd w:val="clear" w:color="auto" w:fill="FFFFFF"/>
        <w:spacing w:after="60"/>
        <w:ind w:right="57"/>
        <w:contextualSpacing w:val="0"/>
        <w:rPr>
          <w:rFonts w:cs="Arial"/>
          <w:w w:val="105"/>
          <w:szCs w:val="24"/>
        </w:rPr>
      </w:pPr>
      <w:r w:rsidRPr="003C5526">
        <w:rPr>
          <w:rFonts w:cs="Arial"/>
          <w:w w:val="105"/>
          <w:szCs w:val="24"/>
        </w:rPr>
        <w:t>la promotion d’un secteur privé performant ;</w:t>
      </w:r>
    </w:p>
    <w:p w14:paraId="1569D831" w14:textId="77777777" w:rsidR="003C5526" w:rsidRPr="003C5526" w:rsidRDefault="003C5526" w:rsidP="003C5526">
      <w:pPr>
        <w:pStyle w:val="Pardeliste"/>
        <w:numPr>
          <w:ilvl w:val="0"/>
          <w:numId w:val="35"/>
        </w:numPr>
        <w:shd w:val="clear" w:color="auto" w:fill="FFFFFF"/>
        <w:spacing w:after="60"/>
        <w:ind w:right="57"/>
        <w:contextualSpacing w:val="0"/>
        <w:rPr>
          <w:rFonts w:cs="Arial"/>
          <w:w w:val="105"/>
          <w:szCs w:val="24"/>
        </w:rPr>
      </w:pPr>
      <w:r w:rsidRPr="003C5526">
        <w:rPr>
          <w:rFonts w:cs="Arial"/>
          <w:w w:val="105"/>
          <w:szCs w:val="24"/>
        </w:rPr>
        <w:t>le développement d’infrastructures efficientes ;</w:t>
      </w:r>
    </w:p>
    <w:p w14:paraId="189789B9" w14:textId="77777777" w:rsidR="003C5526" w:rsidRPr="003C5526" w:rsidRDefault="003C5526" w:rsidP="003C5526">
      <w:pPr>
        <w:pStyle w:val="Pardeliste"/>
        <w:numPr>
          <w:ilvl w:val="0"/>
          <w:numId w:val="35"/>
        </w:numPr>
        <w:shd w:val="clear" w:color="auto" w:fill="FFFFFF"/>
        <w:spacing w:after="60"/>
        <w:ind w:right="57"/>
        <w:contextualSpacing w:val="0"/>
        <w:rPr>
          <w:rFonts w:cs="Arial"/>
          <w:w w:val="105"/>
          <w:szCs w:val="24"/>
        </w:rPr>
      </w:pPr>
      <w:r w:rsidRPr="003C5526">
        <w:rPr>
          <w:rFonts w:cs="Arial"/>
          <w:w w:val="105"/>
          <w:szCs w:val="24"/>
        </w:rPr>
        <w:t>le renforcement des capacités productives ;</w:t>
      </w:r>
    </w:p>
    <w:p w14:paraId="088B4159" w14:textId="77777777" w:rsidR="003C5526" w:rsidRPr="003C5526" w:rsidRDefault="003C5526" w:rsidP="003C5526">
      <w:pPr>
        <w:pStyle w:val="Pardeliste"/>
        <w:numPr>
          <w:ilvl w:val="0"/>
          <w:numId w:val="35"/>
        </w:numPr>
        <w:shd w:val="clear" w:color="auto" w:fill="FFFFFF"/>
        <w:spacing w:after="60"/>
        <w:ind w:right="57"/>
        <w:contextualSpacing w:val="0"/>
        <w:rPr>
          <w:rFonts w:cs="Arial"/>
          <w:w w:val="105"/>
          <w:szCs w:val="24"/>
        </w:rPr>
      </w:pPr>
      <w:r w:rsidRPr="003C5526">
        <w:rPr>
          <w:rFonts w:cs="Arial"/>
          <w:w w:val="105"/>
          <w:szCs w:val="24"/>
        </w:rPr>
        <w:t>le maintien de la paix et de la sécurité aux niveaux interne et régional ;</w:t>
      </w:r>
    </w:p>
    <w:p w14:paraId="61569D37" w14:textId="77777777" w:rsidR="003C5526" w:rsidRPr="003C5526" w:rsidRDefault="003C5526" w:rsidP="003C5526">
      <w:pPr>
        <w:pStyle w:val="Pardeliste"/>
        <w:numPr>
          <w:ilvl w:val="0"/>
          <w:numId w:val="35"/>
        </w:numPr>
        <w:shd w:val="clear" w:color="auto" w:fill="FFFFFF"/>
        <w:spacing w:after="60"/>
        <w:ind w:right="57"/>
        <w:contextualSpacing w:val="0"/>
        <w:rPr>
          <w:rFonts w:cs="Arial"/>
          <w:w w:val="105"/>
          <w:szCs w:val="24"/>
        </w:rPr>
      </w:pPr>
      <w:r w:rsidRPr="003C5526">
        <w:rPr>
          <w:rFonts w:cs="Arial"/>
          <w:w w:val="105"/>
          <w:szCs w:val="24"/>
        </w:rPr>
        <w:t>la mise en place d’un cadre institutionnel optimal ;</w:t>
      </w:r>
    </w:p>
    <w:p w14:paraId="52DA356D" w14:textId="77777777" w:rsidR="003C5526" w:rsidRPr="003C5526" w:rsidRDefault="003C5526" w:rsidP="003C5526">
      <w:pPr>
        <w:pStyle w:val="Pardeliste"/>
        <w:numPr>
          <w:ilvl w:val="0"/>
          <w:numId w:val="35"/>
        </w:numPr>
        <w:shd w:val="clear" w:color="auto" w:fill="FFFFFF"/>
        <w:spacing w:after="60"/>
        <w:ind w:right="57"/>
        <w:contextualSpacing w:val="0"/>
        <w:rPr>
          <w:rFonts w:cs="Arial"/>
          <w:w w:val="105"/>
          <w:szCs w:val="24"/>
        </w:rPr>
      </w:pPr>
      <w:r w:rsidRPr="003C5526">
        <w:rPr>
          <w:rFonts w:cs="Arial"/>
          <w:w w:val="105"/>
          <w:szCs w:val="24"/>
        </w:rPr>
        <w:t>une meilleure appropriation des politiques régionales ;</w:t>
      </w:r>
    </w:p>
    <w:p w14:paraId="6812D36B" w14:textId="172F73D1" w:rsidR="00B235F3" w:rsidRPr="003C5526" w:rsidRDefault="003C5526" w:rsidP="0077672F">
      <w:pPr>
        <w:pStyle w:val="Pardeliste"/>
        <w:numPr>
          <w:ilvl w:val="0"/>
          <w:numId w:val="35"/>
        </w:numPr>
        <w:shd w:val="clear" w:color="auto" w:fill="FFFFFF"/>
        <w:spacing w:after="60"/>
        <w:ind w:right="57"/>
        <w:contextualSpacing w:val="0"/>
        <w:rPr>
          <w:i/>
        </w:rPr>
      </w:pPr>
      <w:r w:rsidRPr="003C5526">
        <w:rPr>
          <w:rFonts w:cs="Arial"/>
          <w:w w:val="105"/>
          <w:szCs w:val="24"/>
        </w:rPr>
        <w:t>une bonne insertion dans les chaînes de valeur régionales.</w:t>
      </w:r>
    </w:p>
    <w:p w14:paraId="03CCE49D" w14:textId="77777777" w:rsidR="00B235F3" w:rsidRDefault="00B235F3">
      <w:pPr>
        <w:spacing w:line="259" w:lineRule="auto"/>
        <w:jc w:val="left"/>
        <w:rPr>
          <w:i/>
        </w:rPr>
      </w:pPr>
      <w:r>
        <w:rPr>
          <w:i/>
        </w:rPr>
        <w:br w:type="page"/>
      </w:r>
    </w:p>
    <w:p w14:paraId="767E163B" w14:textId="307154A4" w:rsidR="008018B7" w:rsidRPr="008018B7" w:rsidRDefault="008018B7" w:rsidP="00FD3B44">
      <w:pPr>
        <w:rPr>
          <w:rFonts w:ascii="Impact" w:hAnsi="Impact"/>
          <w:color w:val="FFF2CC" w:themeColor="accent4" w:themeTint="33"/>
          <w:sz w:val="20"/>
          <w:szCs w:val="20"/>
        </w:rPr>
      </w:pPr>
      <w:r w:rsidRPr="00D23F30">
        <w:rPr>
          <w:noProof/>
          <w:lang w:eastAsia="fr-FR"/>
        </w:rPr>
        <w:lastRenderedPageBreak/>
        <w:drawing>
          <wp:anchor distT="0" distB="0" distL="114300" distR="114300" simplePos="0" relativeHeight="251814912" behindDoc="1" locked="0" layoutInCell="1" allowOverlap="0" wp14:anchorId="7914D564" wp14:editId="65278FF2">
            <wp:simplePos x="0" y="0"/>
            <wp:positionH relativeFrom="page">
              <wp:posOffset>0</wp:posOffset>
            </wp:positionH>
            <wp:positionV relativeFrom="page">
              <wp:posOffset>46990</wp:posOffset>
            </wp:positionV>
            <wp:extent cx="7560310" cy="9999345"/>
            <wp:effectExtent l="0" t="0" r="2540" b="190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24">
                      <a:extLst>
                        <a:ext uri="{28A0092B-C50C-407E-A947-70E740481C1C}">
                          <a14:useLocalDpi xmlns:a14="http://schemas.microsoft.com/office/drawing/2010/main" val="0"/>
                        </a:ext>
                      </a:extLst>
                    </a:blip>
                    <a:stretch>
                      <a:fillRect/>
                    </a:stretch>
                  </pic:blipFill>
                  <pic:spPr>
                    <a:xfrm>
                      <a:off x="0" y="0"/>
                      <a:ext cx="7560310" cy="9999345"/>
                    </a:xfrm>
                    <a:prstGeom prst="rect">
                      <a:avLst/>
                    </a:prstGeom>
                  </pic:spPr>
                </pic:pic>
              </a:graphicData>
            </a:graphic>
            <wp14:sizeRelH relativeFrom="page">
              <wp14:pctWidth>0</wp14:pctWidth>
            </wp14:sizeRelH>
            <wp14:sizeRelV relativeFrom="page">
              <wp14:pctHeight>0</wp14:pctHeight>
            </wp14:sizeRelV>
          </wp:anchor>
        </w:drawing>
      </w:r>
    </w:p>
    <w:p w14:paraId="6C4C9E61" w14:textId="278EE845" w:rsidR="00EA3CC0" w:rsidRPr="009F58B2" w:rsidRDefault="00D23F30" w:rsidP="00D23F30">
      <w:pPr>
        <w:pStyle w:val="Titre1"/>
        <w:snapToGrid w:val="0"/>
        <w:spacing w:before="100" w:after="120"/>
        <w:jc w:val="center"/>
        <w:rPr>
          <w:rFonts w:ascii="Impact" w:hAnsi="Impact"/>
          <w:b w:val="0"/>
          <w:color w:val="FFFFFF" w:themeColor="background1"/>
          <w:sz w:val="80"/>
          <w:szCs w:val="80"/>
        </w:rPr>
      </w:pPr>
      <w:bookmarkStart w:id="74" w:name="_Toc135140185"/>
      <w:r w:rsidRPr="009F58B2">
        <w:rPr>
          <w:rFonts w:ascii="Impact" w:hAnsi="Impact"/>
          <w:b w:val="0"/>
          <w:color w:val="FFFFFF" w:themeColor="background1"/>
          <w:sz w:val="80"/>
          <w:szCs w:val="80"/>
        </w:rPr>
        <w:t>PARTIE II : LA STATEGIE</w:t>
      </w:r>
      <w:bookmarkEnd w:id="74"/>
      <w:r w:rsidRPr="009F58B2">
        <w:rPr>
          <w:rFonts w:ascii="Impact" w:hAnsi="Impact"/>
          <w:b w:val="0"/>
          <w:color w:val="FFFFFF" w:themeColor="background1"/>
          <w:sz w:val="80"/>
          <w:szCs w:val="80"/>
        </w:rPr>
        <w:t xml:space="preserve"> </w:t>
      </w:r>
    </w:p>
    <w:p w14:paraId="483CD98C" w14:textId="501748B3" w:rsidR="003B3746" w:rsidRDefault="003B3746"/>
    <w:p w14:paraId="6172B7EF" w14:textId="1C80E726" w:rsidR="003B3746" w:rsidRDefault="003B3746"/>
    <w:p w14:paraId="09073122" w14:textId="01BB1A7A" w:rsidR="003B3746" w:rsidRDefault="003B3746"/>
    <w:p w14:paraId="01F35EBD" w14:textId="567F1C97" w:rsidR="009D6A26" w:rsidRDefault="00FE3894" w:rsidP="00FE3894">
      <w:pPr>
        <w:tabs>
          <w:tab w:val="left" w:pos="7049"/>
        </w:tabs>
      </w:pPr>
      <w:r>
        <w:tab/>
      </w:r>
    </w:p>
    <w:p w14:paraId="6C03D8C9" w14:textId="01AC43D3" w:rsidR="009D6A26" w:rsidRDefault="009D6A26"/>
    <w:p w14:paraId="770D2804" w14:textId="65A00160" w:rsidR="009D6A26" w:rsidRDefault="009D6A26"/>
    <w:p w14:paraId="1AF8163A" w14:textId="7526A71E" w:rsidR="009D6A26" w:rsidRDefault="009D6A26"/>
    <w:p w14:paraId="54C02B3A" w14:textId="71D3CEC2" w:rsidR="009D6A26" w:rsidRDefault="009D6A26"/>
    <w:p w14:paraId="65AFE275" w14:textId="5927BE78" w:rsidR="009D6A26" w:rsidRDefault="009D6A26"/>
    <w:p w14:paraId="02297321" w14:textId="251A3478" w:rsidR="009D6A26" w:rsidRDefault="009D6A26"/>
    <w:p w14:paraId="61D084F4" w14:textId="29455A67" w:rsidR="009D6A26" w:rsidRDefault="009D6A26"/>
    <w:p w14:paraId="3EAADA4A" w14:textId="09DA54BA" w:rsidR="009D6A26" w:rsidRDefault="009D6A26"/>
    <w:p w14:paraId="77A24C03" w14:textId="3BFFA868" w:rsidR="009D6A26" w:rsidRDefault="009D6A26" w:rsidP="00FE3894"/>
    <w:p w14:paraId="12A938BC" w14:textId="586659DA" w:rsidR="009D6A26" w:rsidRDefault="00BD7609" w:rsidP="00BD7609">
      <w:pPr>
        <w:tabs>
          <w:tab w:val="left" w:pos="2813"/>
        </w:tabs>
      </w:pPr>
      <w:r>
        <w:tab/>
      </w:r>
    </w:p>
    <w:p w14:paraId="23C8B26A" w14:textId="3C5A6D6C" w:rsidR="009D6A26" w:rsidRDefault="009D6A26"/>
    <w:p w14:paraId="5954CB56" w14:textId="14E32A26" w:rsidR="009D6A26" w:rsidRDefault="009D6A26"/>
    <w:p w14:paraId="2DBB0C92" w14:textId="40D47449" w:rsidR="00F96279" w:rsidRDefault="00F96279">
      <w:pPr>
        <w:rPr>
          <w:rFonts w:ascii="Tahoma" w:eastAsiaTheme="majorEastAsia" w:hAnsi="Tahoma" w:cstheme="majorBidi"/>
          <w:b/>
          <w:caps/>
          <w:color w:val="2F9AB3"/>
          <w:sz w:val="30"/>
          <w:szCs w:val="32"/>
        </w:rPr>
      </w:pPr>
      <w:r>
        <w:br w:type="page"/>
      </w:r>
    </w:p>
    <w:p w14:paraId="74708C7D" w14:textId="03789CF0" w:rsidR="008018B7" w:rsidRPr="00AA7159" w:rsidRDefault="008018B7" w:rsidP="008018B7">
      <w:pPr>
        <w:pStyle w:val="Titre2"/>
        <w:rPr>
          <w:bCs/>
        </w:rPr>
      </w:pPr>
      <w:bookmarkStart w:id="75" w:name="_Toc134287606"/>
      <w:bookmarkStart w:id="76" w:name="_Toc135140186"/>
      <w:bookmarkStart w:id="77" w:name="_Toc508636978"/>
      <w:r>
        <w:rPr>
          <w:w w:val="105"/>
        </w:rPr>
        <w:lastRenderedPageBreak/>
        <w:t xml:space="preserve">V. </w:t>
      </w:r>
      <w:r w:rsidRPr="00AA7159">
        <w:rPr>
          <w:w w:val="105"/>
        </w:rPr>
        <w:t>LE CADRE STRATEGIQUE</w:t>
      </w:r>
      <w:bookmarkEnd w:id="75"/>
      <w:bookmarkEnd w:id="76"/>
    </w:p>
    <w:p w14:paraId="1FE2B958" w14:textId="4AD88320" w:rsidR="008018B7" w:rsidRPr="00AA7159" w:rsidRDefault="008018B7" w:rsidP="008018B7">
      <w:pPr>
        <w:pStyle w:val="Titre3"/>
        <w:rPr>
          <w:sz w:val="24"/>
        </w:rPr>
      </w:pPr>
      <w:bookmarkStart w:id="78" w:name="_Toc134287607"/>
      <w:bookmarkStart w:id="79" w:name="_Toc135140187"/>
      <w:r>
        <w:t xml:space="preserve">V.1. </w:t>
      </w:r>
      <w:r w:rsidRPr="00AA7159">
        <w:t>La vision</w:t>
      </w:r>
      <w:bookmarkEnd w:id="78"/>
      <w:bookmarkEnd w:id="79"/>
      <w:r w:rsidRPr="00AA7159">
        <w:t> </w:t>
      </w:r>
    </w:p>
    <w:p w14:paraId="1804E3BF" w14:textId="77777777" w:rsidR="00DF60F4" w:rsidRPr="00913D81" w:rsidRDefault="00DF60F4" w:rsidP="00DF60F4">
      <w:pPr>
        <w:tabs>
          <w:tab w:val="left" w:pos="2592"/>
        </w:tabs>
        <w:spacing w:after="60"/>
        <w:ind w:right="57"/>
        <w:rPr>
          <w:rFonts w:cs="Arial"/>
          <w:bCs/>
          <w:szCs w:val="24"/>
        </w:rPr>
      </w:pPr>
      <w:r w:rsidRPr="00913D81">
        <w:rPr>
          <w:rFonts w:cs="Arial"/>
          <w:bCs/>
          <w:szCs w:val="24"/>
        </w:rPr>
        <w:t>Le Plan Sénégal émergent (PSE) a pour aspiration d’améliorer le bien-être des populations à travers une transformation profonde du système économique et social.</w:t>
      </w:r>
    </w:p>
    <w:p w14:paraId="3F3CAEA9" w14:textId="59E83E51" w:rsidR="008018B7" w:rsidRPr="00AA7159" w:rsidRDefault="00DF60F4" w:rsidP="00DF60F4">
      <w:pPr>
        <w:tabs>
          <w:tab w:val="left" w:pos="2592"/>
        </w:tabs>
        <w:spacing w:after="60"/>
        <w:ind w:right="57"/>
        <w:rPr>
          <w:rFonts w:cs="Arial"/>
          <w:b/>
          <w:bCs/>
          <w:szCs w:val="24"/>
        </w:rPr>
      </w:pPr>
      <w:r w:rsidRPr="00913D81">
        <w:rPr>
          <w:rFonts w:cs="Arial"/>
          <w:bCs/>
          <w:szCs w:val="24"/>
        </w:rPr>
        <w:t>La Vision de la stratégie nationale d’intégration s’inspire de celle du PSE et est intitulée</w:t>
      </w:r>
      <w:r w:rsidRPr="00913D81">
        <w:rPr>
          <w:rFonts w:cs="Arial"/>
          <w:b/>
          <w:bCs/>
          <w:szCs w:val="24"/>
        </w:rPr>
        <w:t> : « </w:t>
      </w:r>
      <w:r w:rsidRPr="00913D81">
        <w:rPr>
          <w:rFonts w:cs="Arial"/>
          <w:b/>
          <w:szCs w:val="24"/>
        </w:rPr>
        <w:t>l’intégration régionale, un levier pour l’émergence du Sénégal</w:t>
      </w:r>
      <w:r>
        <w:rPr>
          <w:rFonts w:cs="Arial"/>
          <w:szCs w:val="24"/>
        </w:rPr>
        <w:t> »</w:t>
      </w:r>
      <w:r w:rsidR="008018B7" w:rsidRPr="00AA7159">
        <w:rPr>
          <w:rFonts w:cs="Arial"/>
          <w:szCs w:val="24"/>
        </w:rPr>
        <w:t>.</w:t>
      </w:r>
    </w:p>
    <w:p w14:paraId="16057080" w14:textId="4576BBDF" w:rsidR="008018B7" w:rsidRPr="00AA7159" w:rsidRDefault="008018B7" w:rsidP="008018B7">
      <w:pPr>
        <w:pStyle w:val="Titre3"/>
      </w:pPr>
      <w:bookmarkStart w:id="80" w:name="_Toc134287608"/>
      <w:bookmarkStart w:id="81" w:name="_Toc135140188"/>
      <w:r>
        <w:t xml:space="preserve">V.2. </w:t>
      </w:r>
      <w:r w:rsidRPr="00AA7159">
        <w:t>Objectif général</w:t>
      </w:r>
      <w:bookmarkEnd w:id="80"/>
      <w:bookmarkEnd w:id="81"/>
      <w:r w:rsidRPr="00AA7159">
        <w:t> </w:t>
      </w:r>
    </w:p>
    <w:p w14:paraId="6E74514E" w14:textId="77777777" w:rsidR="00DF60F4" w:rsidRPr="00913D81" w:rsidRDefault="00DF60F4" w:rsidP="00DF60F4">
      <w:pPr>
        <w:tabs>
          <w:tab w:val="left" w:pos="2592"/>
        </w:tabs>
        <w:spacing w:after="60"/>
        <w:ind w:right="57"/>
        <w:rPr>
          <w:rFonts w:cs="Arial"/>
          <w:szCs w:val="24"/>
        </w:rPr>
      </w:pPr>
      <w:r w:rsidRPr="00913D81">
        <w:rPr>
          <w:rFonts w:cs="Arial"/>
          <w:szCs w:val="24"/>
        </w:rPr>
        <w:t>La stratégie nationale d’intégration s’aligne sur les objectifs stratégiques du Plan national de Développement (PND 2024-2028).</w:t>
      </w:r>
    </w:p>
    <w:p w14:paraId="7F6004E2" w14:textId="77777777" w:rsidR="00DF60F4" w:rsidRPr="00913D81" w:rsidRDefault="00DF60F4" w:rsidP="00DF60F4">
      <w:pPr>
        <w:tabs>
          <w:tab w:val="left" w:pos="2592"/>
        </w:tabs>
        <w:spacing w:after="60"/>
        <w:ind w:right="57"/>
        <w:rPr>
          <w:rFonts w:cs="Arial"/>
          <w:szCs w:val="24"/>
        </w:rPr>
      </w:pPr>
      <w:r w:rsidRPr="00913D81">
        <w:rPr>
          <w:rFonts w:cs="Arial"/>
          <w:szCs w:val="24"/>
        </w:rPr>
        <w:t>L’objectif général de la stratégie nationale d’intégration est de « </w:t>
      </w:r>
      <w:r w:rsidRPr="00913D81">
        <w:rPr>
          <w:rFonts w:cs="Arial"/>
          <w:b/>
          <w:szCs w:val="24"/>
        </w:rPr>
        <w:t>mettre en place un cadre approprié qui permette au Sénégal de jouer un rôle de leader dans l’intégration régionale et d’en tirer le meilleur profit pour accroître sa compétitivité et améliorer son développement</w:t>
      </w:r>
      <w:r w:rsidRPr="00913D81">
        <w:rPr>
          <w:rFonts w:cs="Arial"/>
          <w:szCs w:val="24"/>
        </w:rPr>
        <w:t> ».</w:t>
      </w:r>
    </w:p>
    <w:p w14:paraId="5C067FA9" w14:textId="21A85381" w:rsidR="008018B7" w:rsidRPr="00AA7159" w:rsidRDefault="00DF60F4" w:rsidP="00DF60F4">
      <w:pPr>
        <w:tabs>
          <w:tab w:val="left" w:pos="2592"/>
        </w:tabs>
        <w:snapToGrid w:val="0"/>
        <w:ind w:right="57"/>
        <w:rPr>
          <w:rFonts w:cs="Arial"/>
          <w:szCs w:val="24"/>
        </w:rPr>
      </w:pPr>
      <w:r w:rsidRPr="00913D81">
        <w:rPr>
          <w:rFonts w:cs="Arial"/>
          <w:szCs w:val="24"/>
        </w:rPr>
        <w:t>L’atteinte de cet objectif général se fera à travers des axes stratégiques</w:t>
      </w:r>
      <w:r w:rsidR="008018B7" w:rsidRPr="00AA7159">
        <w:rPr>
          <w:rFonts w:cs="Arial"/>
          <w:szCs w:val="24"/>
        </w:rPr>
        <w:t>.</w:t>
      </w:r>
    </w:p>
    <w:p w14:paraId="005C5F00" w14:textId="589AFC76" w:rsidR="008018B7" w:rsidRPr="00AA7159" w:rsidRDefault="008018B7" w:rsidP="008018B7">
      <w:pPr>
        <w:pStyle w:val="Titre3"/>
      </w:pPr>
      <w:bookmarkStart w:id="82" w:name="_Toc134287609"/>
      <w:bookmarkStart w:id="83" w:name="_Toc135140189"/>
      <w:r>
        <w:t>V.3. Axes stratégiques</w:t>
      </w:r>
      <w:bookmarkEnd w:id="82"/>
      <w:bookmarkEnd w:id="83"/>
    </w:p>
    <w:p w14:paraId="72B525FD" w14:textId="77777777" w:rsidR="008018B7" w:rsidRPr="00AA7159" w:rsidRDefault="008018B7" w:rsidP="008018B7">
      <w:pPr>
        <w:snapToGrid w:val="0"/>
        <w:ind w:right="57"/>
        <w:rPr>
          <w:rFonts w:cs="Arial"/>
        </w:rPr>
      </w:pPr>
      <w:r w:rsidRPr="00AA7159">
        <w:rPr>
          <w:rFonts w:cs="Arial"/>
        </w:rPr>
        <w:t>La stratégie est articulée autour des deux axes stratégiques ci-après :</w:t>
      </w:r>
    </w:p>
    <w:p w14:paraId="2A7F5472" w14:textId="33F7CC80" w:rsidR="008018B7" w:rsidRPr="008018B7" w:rsidRDefault="008018B7" w:rsidP="008018B7">
      <w:pPr>
        <w:pStyle w:val="Pardeliste"/>
        <w:numPr>
          <w:ilvl w:val="2"/>
          <w:numId w:val="28"/>
        </w:numPr>
        <w:snapToGrid w:val="0"/>
        <w:ind w:left="1418" w:hanging="284"/>
        <w:rPr>
          <w:rFonts w:cs="Arial"/>
          <w:b/>
          <w:szCs w:val="24"/>
        </w:rPr>
      </w:pPr>
      <w:r w:rsidRPr="008018B7">
        <w:rPr>
          <w:rFonts w:cs="Arial"/>
          <w:b/>
          <w:szCs w:val="24"/>
        </w:rPr>
        <w:t>Axe 1 : Gouvernance de l’intégration régionale</w:t>
      </w:r>
    </w:p>
    <w:p w14:paraId="71D7731A" w14:textId="77777777" w:rsidR="008018B7" w:rsidRPr="008018B7" w:rsidRDefault="008018B7" w:rsidP="008018B7">
      <w:pPr>
        <w:pStyle w:val="Pardeliste"/>
        <w:numPr>
          <w:ilvl w:val="2"/>
          <w:numId w:val="28"/>
        </w:numPr>
        <w:snapToGrid w:val="0"/>
        <w:ind w:left="1418" w:right="57" w:hanging="284"/>
        <w:rPr>
          <w:rFonts w:cs="Arial"/>
          <w:b/>
          <w:bCs/>
          <w:szCs w:val="24"/>
        </w:rPr>
      </w:pPr>
      <w:r w:rsidRPr="008018B7">
        <w:rPr>
          <w:rFonts w:cs="Arial"/>
          <w:b/>
          <w:bCs/>
          <w:szCs w:val="24"/>
        </w:rPr>
        <w:t>Axe 2 : Compétitivité et développement inclusif</w:t>
      </w:r>
    </w:p>
    <w:p w14:paraId="7167968B" w14:textId="77777777" w:rsidR="008018B7" w:rsidRPr="00AA7159" w:rsidRDefault="008018B7" w:rsidP="008018B7">
      <w:pPr>
        <w:snapToGrid w:val="0"/>
        <w:ind w:right="57"/>
        <w:rPr>
          <w:rFonts w:cs="Arial"/>
          <w:b/>
          <w:bCs/>
          <w:szCs w:val="24"/>
        </w:rPr>
      </w:pPr>
      <w:r w:rsidRPr="00AA7159">
        <w:rPr>
          <w:rFonts w:cs="Arial"/>
          <w:bCs/>
          <w:szCs w:val="24"/>
        </w:rPr>
        <w:t>Chaque axe stratégique est décliné en objectifs spécifiques avec les actions qui concourent à sa réalisation</w:t>
      </w:r>
      <w:r w:rsidRPr="00AA7159">
        <w:rPr>
          <w:rFonts w:cs="Arial"/>
          <w:b/>
          <w:bCs/>
          <w:szCs w:val="24"/>
        </w:rPr>
        <w:t>.</w:t>
      </w:r>
    </w:p>
    <w:p w14:paraId="2E073421" w14:textId="5FDBE7C8" w:rsidR="008018B7" w:rsidRPr="00AA7159" w:rsidRDefault="008018B7" w:rsidP="003143D6">
      <w:pPr>
        <w:pStyle w:val="Titre4"/>
        <w:spacing w:after="240"/>
      </w:pPr>
      <w:bookmarkStart w:id="84" w:name="_Toc134287610"/>
      <w:bookmarkStart w:id="85" w:name="_Toc135140190"/>
      <w:r>
        <w:t>V.3.1</w:t>
      </w:r>
      <w:r w:rsidR="001D1A34">
        <w:t>.</w:t>
      </w:r>
      <w:r>
        <w:t xml:space="preserve"> </w:t>
      </w:r>
      <w:r w:rsidRPr="00AA7159">
        <w:t>Axe 1 : Gouvernance de l’intégration régionale</w:t>
      </w:r>
      <w:bookmarkEnd w:id="84"/>
      <w:bookmarkEnd w:id="85"/>
    </w:p>
    <w:p w14:paraId="6567A389" w14:textId="52190476" w:rsidR="008018B7" w:rsidRPr="00AA7159" w:rsidRDefault="003143D6" w:rsidP="003143D6">
      <w:pPr>
        <w:snapToGrid w:val="0"/>
        <w:ind w:right="57"/>
        <w:rPr>
          <w:rFonts w:cs="Arial"/>
          <w:b/>
          <w:bCs/>
          <w:szCs w:val="24"/>
        </w:rPr>
      </w:pPr>
      <w:r w:rsidRPr="00AA7159">
        <w:rPr>
          <w:rFonts w:cs="Arial"/>
          <w:b/>
          <w:bCs/>
          <w:szCs w:val="24"/>
          <w:u w:val="single"/>
        </w:rPr>
        <w:t>OBJECTIF SPECIFIQUE 1</w:t>
      </w:r>
      <w:r w:rsidRPr="00AA7159">
        <w:rPr>
          <w:rFonts w:cs="Arial"/>
          <w:b/>
          <w:bCs/>
          <w:szCs w:val="24"/>
        </w:rPr>
        <w:t xml:space="preserve"> : </w:t>
      </w:r>
      <w:r w:rsidR="008018B7" w:rsidRPr="00AA7159">
        <w:rPr>
          <w:rFonts w:cs="Arial"/>
          <w:b/>
          <w:bCs/>
          <w:szCs w:val="24"/>
        </w:rPr>
        <w:t xml:space="preserve">améliorer </w:t>
      </w:r>
      <w:r w:rsidRPr="00AA7159">
        <w:rPr>
          <w:rFonts w:cs="Arial"/>
          <w:b/>
          <w:bCs/>
          <w:szCs w:val="24"/>
        </w:rPr>
        <w:t>les cadres politiques</w:t>
      </w:r>
      <w:r w:rsidR="008018B7" w:rsidRPr="00AA7159">
        <w:rPr>
          <w:rFonts w:cs="Arial"/>
          <w:b/>
          <w:bCs/>
          <w:szCs w:val="24"/>
        </w:rPr>
        <w:t>, juridique et institutionnel de prise en charge de l’intégration régionale.</w:t>
      </w:r>
    </w:p>
    <w:p w14:paraId="53F9BEE5" w14:textId="77777777" w:rsidR="008018B7" w:rsidRPr="00AA7159" w:rsidRDefault="008018B7" w:rsidP="003143D6">
      <w:pPr>
        <w:snapToGrid w:val="0"/>
        <w:ind w:right="57"/>
        <w:rPr>
          <w:rFonts w:cs="Arial"/>
          <w:b/>
          <w:bCs/>
          <w:szCs w:val="24"/>
        </w:rPr>
      </w:pPr>
      <w:r w:rsidRPr="00AA7159">
        <w:rPr>
          <w:rFonts w:cs="Arial"/>
          <w:bCs/>
          <w:szCs w:val="24"/>
        </w:rPr>
        <w:t>Pour atteindre cet objectif spécifique, les actions suivantes sont prévues</w:t>
      </w:r>
      <w:r w:rsidRPr="00AA7159">
        <w:rPr>
          <w:rFonts w:cs="Arial"/>
          <w:b/>
          <w:bCs/>
          <w:szCs w:val="24"/>
        </w:rPr>
        <w:t> :</w:t>
      </w:r>
    </w:p>
    <w:p w14:paraId="2F1D4842" w14:textId="77777777" w:rsidR="008018B7" w:rsidRPr="00AA7159" w:rsidRDefault="008018B7" w:rsidP="002C6989">
      <w:pPr>
        <w:pStyle w:val="Pardeliste"/>
        <w:numPr>
          <w:ilvl w:val="0"/>
          <w:numId w:val="29"/>
        </w:numPr>
        <w:snapToGrid w:val="0"/>
        <w:ind w:right="57"/>
        <w:contextualSpacing w:val="0"/>
        <w:rPr>
          <w:rFonts w:cs="Arial"/>
          <w:b/>
          <w:bCs/>
          <w:szCs w:val="24"/>
        </w:rPr>
      </w:pPr>
      <w:r w:rsidRPr="003143D6">
        <w:rPr>
          <w:rFonts w:cs="Arial"/>
          <w:b/>
          <w:i/>
          <w:szCs w:val="24"/>
          <w:u w:val="single"/>
        </w:rPr>
        <w:t>Action 1.1</w:t>
      </w:r>
      <w:r w:rsidRPr="003143D6">
        <w:rPr>
          <w:rFonts w:cs="Arial"/>
          <w:b/>
          <w:i/>
          <w:szCs w:val="24"/>
        </w:rPr>
        <w:t> :</w:t>
      </w:r>
      <w:r w:rsidRPr="00AA7159">
        <w:rPr>
          <w:rFonts w:cs="Arial"/>
          <w:szCs w:val="24"/>
        </w:rPr>
        <w:t xml:space="preserve"> Renforcement du leadership du Sénégal dans les organisations et institutions d’intégration régionale</w:t>
      </w:r>
    </w:p>
    <w:p w14:paraId="1169E97E" w14:textId="77777777" w:rsidR="008018B7" w:rsidRPr="00AA7159" w:rsidRDefault="008018B7" w:rsidP="002C6989">
      <w:pPr>
        <w:pStyle w:val="Pardeliste"/>
        <w:numPr>
          <w:ilvl w:val="0"/>
          <w:numId w:val="29"/>
        </w:numPr>
        <w:snapToGrid w:val="0"/>
        <w:ind w:right="57"/>
        <w:contextualSpacing w:val="0"/>
        <w:rPr>
          <w:rFonts w:cs="Arial"/>
          <w:b/>
          <w:bCs/>
          <w:szCs w:val="24"/>
        </w:rPr>
      </w:pPr>
      <w:r w:rsidRPr="003143D6">
        <w:rPr>
          <w:rFonts w:cs="Arial"/>
          <w:b/>
          <w:i/>
          <w:szCs w:val="24"/>
          <w:u w:val="single"/>
        </w:rPr>
        <w:t>Action 1.2</w:t>
      </w:r>
      <w:r w:rsidRPr="00DF60F4">
        <w:rPr>
          <w:rFonts w:cs="Arial"/>
          <w:b/>
          <w:i/>
          <w:szCs w:val="24"/>
        </w:rPr>
        <w:t> :</w:t>
      </w:r>
      <w:r w:rsidRPr="00AA7159">
        <w:rPr>
          <w:rFonts w:cs="Arial"/>
          <w:szCs w:val="24"/>
        </w:rPr>
        <w:t xml:space="preserve"> Mise en place d’un dispositif institutionnel et juridique cohérent pour une meilleure appropriation du processus d’intégration régionale</w:t>
      </w:r>
    </w:p>
    <w:p w14:paraId="272F2E43" w14:textId="77777777" w:rsidR="008018B7" w:rsidRPr="00AA7159" w:rsidRDefault="008018B7" w:rsidP="002C6989">
      <w:pPr>
        <w:pStyle w:val="Pardeliste"/>
        <w:numPr>
          <w:ilvl w:val="0"/>
          <w:numId w:val="29"/>
        </w:numPr>
        <w:snapToGrid w:val="0"/>
        <w:ind w:right="57"/>
        <w:contextualSpacing w:val="0"/>
        <w:rPr>
          <w:rFonts w:cs="Arial"/>
          <w:b/>
          <w:bCs/>
          <w:szCs w:val="24"/>
        </w:rPr>
      </w:pPr>
      <w:r w:rsidRPr="003143D6">
        <w:rPr>
          <w:rFonts w:cs="Arial"/>
          <w:b/>
          <w:i/>
          <w:szCs w:val="24"/>
          <w:u w:val="single"/>
        </w:rPr>
        <w:t>Action 1.3</w:t>
      </w:r>
      <w:r w:rsidRPr="00AA7159">
        <w:rPr>
          <w:rFonts w:cs="Arial"/>
          <w:szCs w:val="24"/>
        </w:rPr>
        <w:t> </w:t>
      </w:r>
      <w:r w:rsidRPr="003143D6">
        <w:rPr>
          <w:rFonts w:cs="Arial"/>
          <w:b/>
          <w:szCs w:val="24"/>
        </w:rPr>
        <w:t>:</w:t>
      </w:r>
      <w:r w:rsidRPr="00AA7159">
        <w:rPr>
          <w:rFonts w:cs="Arial"/>
          <w:szCs w:val="24"/>
        </w:rPr>
        <w:t xml:space="preserve"> Appui à la mise en œuvre accélérée des réformes, politiques, programmes et projets communautaires</w:t>
      </w:r>
    </w:p>
    <w:p w14:paraId="580E8F9D" w14:textId="26766299" w:rsidR="008018B7" w:rsidRPr="00AA7159" w:rsidRDefault="003143D6" w:rsidP="003143D6">
      <w:pPr>
        <w:snapToGrid w:val="0"/>
        <w:spacing w:before="240"/>
        <w:ind w:right="57"/>
        <w:rPr>
          <w:rFonts w:cs="Arial"/>
          <w:b/>
          <w:color w:val="FF0000"/>
          <w:szCs w:val="24"/>
        </w:rPr>
      </w:pPr>
      <w:r w:rsidRPr="00AA7159">
        <w:rPr>
          <w:rFonts w:cs="Arial"/>
          <w:b/>
          <w:bCs/>
          <w:szCs w:val="24"/>
          <w:u w:val="single"/>
        </w:rPr>
        <w:t xml:space="preserve">OBJECTIF SPECIFIQUE </w:t>
      </w:r>
      <w:r w:rsidRPr="00AA7159">
        <w:rPr>
          <w:rFonts w:cs="Arial"/>
          <w:b/>
          <w:szCs w:val="24"/>
          <w:u w:val="single"/>
        </w:rPr>
        <w:t>2</w:t>
      </w:r>
      <w:r w:rsidRPr="00AA7159">
        <w:rPr>
          <w:rFonts w:cs="Arial"/>
          <w:b/>
          <w:szCs w:val="24"/>
        </w:rPr>
        <w:t xml:space="preserve"> : </w:t>
      </w:r>
      <w:r w:rsidR="008018B7" w:rsidRPr="00AA7159">
        <w:rPr>
          <w:rFonts w:cs="Arial"/>
          <w:b/>
          <w:szCs w:val="24"/>
        </w:rPr>
        <w:t>Contribuer au maintien de la paix et à la lutte contre le financement du terrorisme, le blanchiment de capitaux et l’insécurité transfrontalière</w:t>
      </w:r>
      <w:r w:rsidR="008018B7" w:rsidRPr="00AA7159">
        <w:rPr>
          <w:rFonts w:cs="Arial"/>
          <w:b/>
          <w:color w:val="FF0000"/>
          <w:szCs w:val="24"/>
        </w:rPr>
        <w:t xml:space="preserve"> </w:t>
      </w:r>
    </w:p>
    <w:p w14:paraId="41A85A9E" w14:textId="77777777" w:rsidR="008018B7" w:rsidRPr="00AA7159" w:rsidRDefault="008018B7" w:rsidP="003143D6">
      <w:pPr>
        <w:snapToGrid w:val="0"/>
        <w:ind w:right="57"/>
        <w:rPr>
          <w:rFonts w:cs="Arial"/>
          <w:b/>
          <w:color w:val="FF0000"/>
          <w:szCs w:val="24"/>
        </w:rPr>
      </w:pPr>
      <w:r w:rsidRPr="00AA7159">
        <w:rPr>
          <w:rFonts w:cs="Arial"/>
          <w:bCs/>
          <w:szCs w:val="24"/>
        </w:rPr>
        <w:t>Pour atteindre cet objectif spécifique, les actions suivantes sont prévues</w:t>
      </w:r>
      <w:r w:rsidRPr="00AA7159">
        <w:rPr>
          <w:rFonts w:cs="Arial"/>
          <w:b/>
          <w:bCs/>
          <w:szCs w:val="24"/>
        </w:rPr>
        <w:t> :</w:t>
      </w:r>
    </w:p>
    <w:p w14:paraId="72A93E68" w14:textId="51984A03" w:rsidR="008018B7" w:rsidRPr="00AA7159" w:rsidRDefault="008018B7" w:rsidP="002C6989">
      <w:pPr>
        <w:pStyle w:val="Pardeliste"/>
        <w:numPr>
          <w:ilvl w:val="0"/>
          <w:numId w:val="29"/>
        </w:numPr>
        <w:snapToGrid w:val="0"/>
        <w:ind w:right="57"/>
        <w:contextualSpacing w:val="0"/>
        <w:rPr>
          <w:rFonts w:cs="Arial"/>
          <w:szCs w:val="24"/>
        </w:rPr>
      </w:pPr>
      <w:r w:rsidRPr="003143D6">
        <w:rPr>
          <w:rFonts w:cs="Arial"/>
          <w:b/>
          <w:i/>
          <w:szCs w:val="24"/>
          <w:u w:val="single"/>
        </w:rPr>
        <w:t xml:space="preserve">Action </w:t>
      </w:r>
      <w:r w:rsidR="00DF60F4">
        <w:rPr>
          <w:rFonts w:cs="Arial"/>
          <w:b/>
          <w:i/>
          <w:szCs w:val="24"/>
          <w:u w:val="single"/>
        </w:rPr>
        <w:t>2.</w:t>
      </w:r>
      <w:r w:rsidRPr="003143D6">
        <w:rPr>
          <w:rFonts w:cs="Arial"/>
          <w:b/>
          <w:i/>
          <w:szCs w:val="24"/>
          <w:u w:val="single"/>
        </w:rPr>
        <w:t>1</w:t>
      </w:r>
      <w:r w:rsidRPr="00DF60F4">
        <w:rPr>
          <w:rFonts w:cs="Arial"/>
          <w:b/>
          <w:i/>
          <w:szCs w:val="24"/>
        </w:rPr>
        <w:t> :</w:t>
      </w:r>
      <w:r w:rsidRPr="00AA7159">
        <w:rPr>
          <w:rFonts w:cs="Arial"/>
          <w:szCs w:val="24"/>
        </w:rPr>
        <w:t xml:space="preserve"> Renforcement de la participation du Sénégal dans les opérations de maintien de la paix </w:t>
      </w:r>
    </w:p>
    <w:p w14:paraId="61CC01E8" w14:textId="1C5AB73F" w:rsidR="008018B7" w:rsidRPr="00AA7159" w:rsidRDefault="008018B7" w:rsidP="002C6989">
      <w:pPr>
        <w:pStyle w:val="Pardeliste"/>
        <w:numPr>
          <w:ilvl w:val="0"/>
          <w:numId w:val="29"/>
        </w:numPr>
        <w:snapToGrid w:val="0"/>
        <w:ind w:right="57"/>
        <w:contextualSpacing w:val="0"/>
        <w:rPr>
          <w:rFonts w:cs="Arial"/>
          <w:szCs w:val="24"/>
        </w:rPr>
      </w:pPr>
      <w:r w:rsidRPr="003143D6">
        <w:rPr>
          <w:rFonts w:cs="Arial"/>
          <w:b/>
          <w:i/>
          <w:szCs w:val="24"/>
          <w:u w:val="single"/>
        </w:rPr>
        <w:lastRenderedPageBreak/>
        <w:t>Action 2</w:t>
      </w:r>
      <w:r w:rsidR="00DF60F4">
        <w:rPr>
          <w:rFonts w:cs="Arial"/>
          <w:b/>
          <w:i/>
          <w:szCs w:val="24"/>
          <w:u w:val="single"/>
        </w:rPr>
        <w:t>.2</w:t>
      </w:r>
      <w:r w:rsidRPr="00DF60F4">
        <w:rPr>
          <w:rFonts w:cs="Arial"/>
          <w:b/>
          <w:i/>
          <w:szCs w:val="24"/>
        </w:rPr>
        <w:t> :</w:t>
      </w:r>
      <w:r w:rsidRPr="00AA7159">
        <w:rPr>
          <w:rFonts w:cs="Arial"/>
          <w:szCs w:val="24"/>
        </w:rPr>
        <w:t xml:space="preserve"> Renforcement du cadre juridique de lutte contre le terrorisme et le blanchiment de capitaux</w:t>
      </w:r>
    </w:p>
    <w:p w14:paraId="6A72114C" w14:textId="1FFEF1DC" w:rsidR="008018B7" w:rsidRDefault="008018B7" w:rsidP="002C6989">
      <w:pPr>
        <w:pStyle w:val="Pardeliste"/>
        <w:numPr>
          <w:ilvl w:val="0"/>
          <w:numId w:val="29"/>
        </w:numPr>
        <w:snapToGrid w:val="0"/>
        <w:ind w:right="57"/>
        <w:contextualSpacing w:val="0"/>
        <w:rPr>
          <w:rFonts w:cs="Arial"/>
          <w:szCs w:val="24"/>
        </w:rPr>
      </w:pPr>
      <w:r w:rsidRPr="003143D6">
        <w:rPr>
          <w:rFonts w:cs="Arial"/>
          <w:b/>
          <w:i/>
          <w:szCs w:val="24"/>
          <w:u w:val="single"/>
        </w:rPr>
        <w:t xml:space="preserve">Action </w:t>
      </w:r>
      <w:r w:rsidR="00DF60F4">
        <w:rPr>
          <w:rFonts w:cs="Arial"/>
          <w:b/>
          <w:i/>
          <w:szCs w:val="24"/>
          <w:u w:val="single"/>
        </w:rPr>
        <w:t>2.</w:t>
      </w:r>
      <w:r w:rsidRPr="003143D6">
        <w:rPr>
          <w:rFonts w:cs="Arial"/>
          <w:b/>
          <w:i/>
          <w:szCs w:val="24"/>
          <w:u w:val="single"/>
        </w:rPr>
        <w:t>3</w:t>
      </w:r>
      <w:r w:rsidRPr="00DF60F4">
        <w:rPr>
          <w:rFonts w:cs="Arial"/>
          <w:b/>
          <w:i/>
          <w:szCs w:val="24"/>
        </w:rPr>
        <w:t> :</w:t>
      </w:r>
      <w:r w:rsidRPr="00AA7159">
        <w:rPr>
          <w:rFonts w:cs="Arial"/>
          <w:szCs w:val="24"/>
        </w:rPr>
        <w:t xml:space="preserve"> Renforcement de la lutte contre l’insécurité transfrontalière</w:t>
      </w:r>
    </w:p>
    <w:p w14:paraId="57F76A59" w14:textId="77777777" w:rsidR="002C6989" w:rsidRPr="002C6989" w:rsidRDefault="002C6989" w:rsidP="002C6989">
      <w:pPr>
        <w:pStyle w:val="Pardeliste"/>
        <w:snapToGrid w:val="0"/>
        <w:ind w:right="57"/>
        <w:contextualSpacing w:val="0"/>
        <w:rPr>
          <w:rFonts w:cs="Arial"/>
          <w:sz w:val="8"/>
          <w:szCs w:val="8"/>
        </w:rPr>
      </w:pPr>
    </w:p>
    <w:p w14:paraId="350E7FA7" w14:textId="1D03780A" w:rsidR="008018B7" w:rsidRPr="00AA7159" w:rsidRDefault="003143D6" w:rsidP="003143D6">
      <w:pPr>
        <w:tabs>
          <w:tab w:val="left" w:pos="950"/>
        </w:tabs>
        <w:snapToGrid w:val="0"/>
        <w:ind w:right="57"/>
        <w:rPr>
          <w:rFonts w:cs="Arial"/>
          <w:b/>
          <w:bCs/>
          <w:szCs w:val="24"/>
        </w:rPr>
      </w:pPr>
      <w:r w:rsidRPr="00AA7159">
        <w:rPr>
          <w:rFonts w:cs="Arial"/>
          <w:b/>
          <w:bCs/>
          <w:szCs w:val="24"/>
          <w:u w:val="single"/>
        </w:rPr>
        <w:t xml:space="preserve">OBJECTIF SPECIFIQUE </w:t>
      </w:r>
      <w:r w:rsidRPr="00AA7159">
        <w:rPr>
          <w:rFonts w:cs="Arial"/>
          <w:b/>
          <w:szCs w:val="24"/>
          <w:u w:val="single"/>
        </w:rPr>
        <w:t>3</w:t>
      </w:r>
      <w:r w:rsidR="008018B7" w:rsidRPr="00AA7159">
        <w:rPr>
          <w:rFonts w:cs="Arial"/>
          <w:b/>
          <w:bCs/>
          <w:szCs w:val="24"/>
        </w:rPr>
        <w:t xml:space="preserve"> : Promouvoir la mobilité des compétences dans l’espace communautaire </w:t>
      </w:r>
    </w:p>
    <w:p w14:paraId="08440ADB" w14:textId="77777777" w:rsidR="008018B7" w:rsidRPr="00AA7159" w:rsidRDefault="008018B7" w:rsidP="003143D6">
      <w:pPr>
        <w:snapToGrid w:val="0"/>
        <w:ind w:right="57"/>
        <w:rPr>
          <w:rFonts w:cs="Arial"/>
          <w:b/>
          <w:color w:val="FF0000"/>
          <w:szCs w:val="24"/>
        </w:rPr>
      </w:pPr>
      <w:r w:rsidRPr="00AA7159">
        <w:rPr>
          <w:rFonts w:cs="Arial"/>
          <w:bCs/>
          <w:szCs w:val="24"/>
        </w:rPr>
        <w:t>Pour atteindre cet objectif spécifique, les actions suivantes sont prévues</w:t>
      </w:r>
      <w:r w:rsidRPr="00AA7159">
        <w:rPr>
          <w:rFonts w:cs="Arial"/>
          <w:b/>
          <w:bCs/>
          <w:szCs w:val="24"/>
        </w:rPr>
        <w:t> :</w:t>
      </w:r>
    </w:p>
    <w:p w14:paraId="3561173A" w14:textId="01C9B957" w:rsidR="008018B7" w:rsidRPr="00AA7159" w:rsidRDefault="008018B7" w:rsidP="002C6989">
      <w:pPr>
        <w:pStyle w:val="Pardeliste"/>
        <w:numPr>
          <w:ilvl w:val="0"/>
          <w:numId w:val="29"/>
        </w:numPr>
        <w:snapToGrid w:val="0"/>
        <w:ind w:right="57"/>
        <w:contextualSpacing w:val="0"/>
        <w:rPr>
          <w:rFonts w:cs="Arial"/>
          <w:szCs w:val="24"/>
        </w:rPr>
      </w:pPr>
      <w:r w:rsidRPr="003143D6">
        <w:rPr>
          <w:rFonts w:cs="Arial"/>
          <w:b/>
          <w:i/>
          <w:szCs w:val="24"/>
          <w:u w:val="single"/>
        </w:rPr>
        <w:t xml:space="preserve">Action </w:t>
      </w:r>
      <w:r w:rsidR="00DF60F4">
        <w:rPr>
          <w:rFonts w:cs="Arial"/>
          <w:b/>
          <w:i/>
          <w:szCs w:val="24"/>
          <w:u w:val="single"/>
        </w:rPr>
        <w:t>3.</w:t>
      </w:r>
      <w:r w:rsidRPr="003143D6">
        <w:rPr>
          <w:rFonts w:cs="Arial"/>
          <w:b/>
          <w:i/>
          <w:szCs w:val="24"/>
          <w:u w:val="single"/>
        </w:rPr>
        <w:t>1</w:t>
      </w:r>
      <w:r w:rsidRPr="00DF60F4">
        <w:rPr>
          <w:rFonts w:cs="Arial"/>
          <w:b/>
          <w:i/>
          <w:szCs w:val="24"/>
        </w:rPr>
        <w:t> </w:t>
      </w:r>
      <w:r w:rsidRPr="003143D6">
        <w:rPr>
          <w:rFonts w:cs="Arial"/>
          <w:b/>
          <w:i/>
          <w:szCs w:val="24"/>
        </w:rPr>
        <w:t xml:space="preserve">: </w:t>
      </w:r>
      <w:r w:rsidRPr="00AA7159">
        <w:rPr>
          <w:rFonts w:cs="Arial"/>
          <w:szCs w:val="24"/>
        </w:rPr>
        <w:t>Renforcement des connaissances et des capacités sur l’intégration régionale</w:t>
      </w:r>
    </w:p>
    <w:p w14:paraId="68C4D13A" w14:textId="32D7E87E" w:rsidR="008018B7" w:rsidRPr="00AA7159" w:rsidRDefault="008018B7" w:rsidP="002C6989">
      <w:pPr>
        <w:pStyle w:val="Pardeliste"/>
        <w:numPr>
          <w:ilvl w:val="0"/>
          <w:numId w:val="29"/>
        </w:numPr>
        <w:snapToGrid w:val="0"/>
        <w:ind w:right="57"/>
        <w:contextualSpacing w:val="0"/>
        <w:rPr>
          <w:rFonts w:cs="Arial"/>
          <w:b/>
          <w:bCs/>
          <w:szCs w:val="24"/>
        </w:rPr>
      </w:pPr>
      <w:r w:rsidRPr="003143D6">
        <w:rPr>
          <w:rFonts w:cs="Arial"/>
          <w:b/>
          <w:i/>
          <w:szCs w:val="24"/>
          <w:u w:val="single"/>
        </w:rPr>
        <w:t xml:space="preserve">Action </w:t>
      </w:r>
      <w:r w:rsidR="00DF60F4">
        <w:rPr>
          <w:rFonts w:cs="Arial"/>
          <w:b/>
          <w:i/>
          <w:szCs w:val="24"/>
          <w:u w:val="single"/>
        </w:rPr>
        <w:t>3.</w:t>
      </w:r>
      <w:r w:rsidRPr="003143D6">
        <w:rPr>
          <w:rFonts w:cs="Arial"/>
          <w:b/>
          <w:i/>
          <w:szCs w:val="24"/>
          <w:u w:val="single"/>
        </w:rPr>
        <w:t>2</w:t>
      </w:r>
      <w:r w:rsidRPr="00AA7159">
        <w:rPr>
          <w:rFonts w:cs="Arial"/>
          <w:szCs w:val="24"/>
        </w:rPr>
        <w:t> </w:t>
      </w:r>
      <w:r w:rsidRPr="003143D6">
        <w:rPr>
          <w:rFonts w:cs="Arial"/>
          <w:b/>
          <w:szCs w:val="24"/>
        </w:rPr>
        <w:t>:</w:t>
      </w:r>
      <w:r w:rsidRPr="00AA7159">
        <w:rPr>
          <w:rFonts w:cs="Arial"/>
          <w:szCs w:val="24"/>
        </w:rPr>
        <w:t xml:space="preserve"> Amélioration des conditions d’admission et d’apprentissage des étudiants sénégalais et étrangers dans le système d’enseignement supérieur </w:t>
      </w:r>
    </w:p>
    <w:p w14:paraId="619B9102" w14:textId="1291455D" w:rsidR="008018B7" w:rsidRPr="00AA7159" w:rsidRDefault="008018B7" w:rsidP="002C6989">
      <w:pPr>
        <w:pStyle w:val="Pardeliste"/>
        <w:numPr>
          <w:ilvl w:val="0"/>
          <w:numId w:val="29"/>
        </w:numPr>
        <w:snapToGrid w:val="0"/>
        <w:ind w:right="57"/>
        <w:contextualSpacing w:val="0"/>
        <w:rPr>
          <w:rFonts w:cs="Arial"/>
          <w:szCs w:val="24"/>
        </w:rPr>
      </w:pPr>
      <w:r w:rsidRPr="003143D6">
        <w:rPr>
          <w:rFonts w:cs="Arial"/>
          <w:b/>
          <w:i/>
          <w:szCs w:val="24"/>
          <w:u w:val="single"/>
        </w:rPr>
        <w:t>Action 3</w:t>
      </w:r>
      <w:r w:rsidR="00DF60F4">
        <w:rPr>
          <w:rFonts w:cs="Arial"/>
          <w:b/>
          <w:i/>
          <w:szCs w:val="24"/>
          <w:u w:val="single"/>
        </w:rPr>
        <w:t>.3</w:t>
      </w:r>
      <w:r w:rsidRPr="00AA7159">
        <w:rPr>
          <w:rFonts w:cs="Arial"/>
          <w:szCs w:val="24"/>
        </w:rPr>
        <w:t> </w:t>
      </w:r>
      <w:r w:rsidRPr="003143D6">
        <w:rPr>
          <w:rFonts w:cs="Arial"/>
          <w:b/>
          <w:szCs w:val="24"/>
        </w:rPr>
        <w:t>:</w:t>
      </w:r>
      <w:r w:rsidRPr="00AA7159">
        <w:rPr>
          <w:rFonts w:cs="Arial"/>
          <w:szCs w:val="24"/>
        </w:rPr>
        <w:t xml:space="preserve"> Amélioration des cadres de coopérations avec les universités africaines</w:t>
      </w:r>
    </w:p>
    <w:p w14:paraId="2816EBFE" w14:textId="6A1EBC5A" w:rsidR="008018B7" w:rsidRPr="00AA7159" w:rsidRDefault="008018B7" w:rsidP="002C6989">
      <w:pPr>
        <w:pStyle w:val="Pardeliste"/>
        <w:numPr>
          <w:ilvl w:val="0"/>
          <w:numId w:val="29"/>
        </w:numPr>
        <w:snapToGrid w:val="0"/>
        <w:ind w:right="57"/>
        <w:contextualSpacing w:val="0"/>
        <w:rPr>
          <w:rFonts w:cs="Arial"/>
          <w:szCs w:val="24"/>
        </w:rPr>
      </w:pPr>
      <w:r w:rsidRPr="003143D6">
        <w:rPr>
          <w:rFonts w:cs="Arial"/>
          <w:b/>
          <w:i/>
          <w:szCs w:val="24"/>
          <w:u w:val="single"/>
        </w:rPr>
        <w:t xml:space="preserve">Action </w:t>
      </w:r>
      <w:r w:rsidR="00DF60F4">
        <w:rPr>
          <w:rFonts w:cs="Arial"/>
          <w:b/>
          <w:i/>
          <w:szCs w:val="24"/>
          <w:u w:val="single"/>
        </w:rPr>
        <w:t>3.</w:t>
      </w:r>
      <w:r w:rsidRPr="003143D6">
        <w:rPr>
          <w:rFonts w:cs="Arial"/>
          <w:b/>
          <w:i/>
          <w:szCs w:val="24"/>
          <w:u w:val="single"/>
        </w:rPr>
        <w:t>4</w:t>
      </w:r>
      <w:r w:rsidRPr="00AA7159">
        <w:rPr>
          <w:rFonts w:cs="Arial"/>
          <w:szCs w:val="24"/>
        </w:rPr>
        <w:t> </w:t>
      </w:r>
      <w:r w:rsidRPr="003143D6">
        <w:rPr>
          <w:rFonts w:cs="Arial"/>
          <w:b/>
          <w:szCs w:val="24"/>
        </w:rPr>
        <w:t>:</w:t>
      </w:r>
      <w:r w:rsidRPr="00AA7159">
        <w:rPr>
          <w:rFonts w:cs="Arial"/>
          <w:szCs w:val="24"/>
        </w:rPr>
        <w:t xml:space="preserve"> Facilitation de la libre circulation et de l’établissement des professions libérales</w:t>
      </w:r>
    </w:p>
    <w:p w14:paraId="12684931" w14:textId="655D7687" w:rsidR="008018B7" w:rsidRDefault="001D1A34" w:rsidP="000E368D">
      <w:pPr>
        <w:pStyle w:val="Titre4"/>
      </w:pPr>
      <w:bookmarkStart w:id="86" w:name="_Toc134287611"/>
      <w:bookmarkStart w:id="87" w:name="_Toc135140191"/>
      <w:r w:rsidRPr="001D1A34">
        <w:t xml:space="preserve">V.3.2. </w:t>
      </w:r>
      <w:r w:rsidR="008018B7" w:rsidRPr="001D1A34">
        <w:t>Axe 2 : Compétitivité et développement inclusif</w:t>
      </w:r>
      <w:bookmarkEnd w:id="86"/>
      <w:bookmarkEnd w:id="87"/>
    </w:p>
    <w:p w14:paraId="1466959A" w14:textId="77777777" w:rsidR="001D1A34" w:rsidRPr="001D1A34" w:rsidRDefault="001D1A34" w:rsidP="001D1A34">
      <w:pPr>
        <w:rPr>
          <w:sz w:val="4"/>
          <w:szCs w:val="4"/>
        </w:rPr>
      </w:pPr>
    </w:p>
    <w:p w14:paraId="45CC8F14" w14:textId="7F4F66CB" w:rsidR="008018B7" w:rsidRPr="00AA7159" w:rsidRDefault="001D1A34" w:rsidP="001D1A34">
      <w:pPr>
        <w:snapToGrid w:val="0"/>
        <w:ind w:right="57"/>
        <w:rPr>
          <w:rFonts w:cs="Arial"/>
          <w:b/>
          <w:bCs/>
          <w:szCs w:val="24"/>
        </w:rPr>
      </w:pPr>
      <w:r w:rsidRPr="00AA7159">
        <w:rPr>
          <w:rFonts w:cs="Arial"/>
          <w:b/>
          <w:bCs/>
          <w:szCs w:val="24"/>
          <w:u w:val="single"/>
        </w:rPr>
        <w:t>OBJECTIF SPECIFIQUE 1</w:t>
      </w:r>
      <w:r w:rsidRPr="001D1A34">
        <w:rPr>
          <w:rFonts w:cs="Arial"/>
          <w:b/>
          <w:bCs/>
          <w:szCs w:val="24"/>
          <w:u w:val="single"/>
        </w:rPr>
        <w:t> :</w:t>
      </w:r>
      <w:r w:rsidRPr="00AA7159">
        <w:rPr>
          <w:rFonts w:cs="Arial"/>
          <w:b/>
          <w:bCs/>
          <w:szCs w:val="24"/>
        </w:rPr>
        <w:t xml:space="preserve"> </w:t>
      </w:r>
      <w:r w:rsidR="008018B7" w:rsidRPr="00AA7159">
        <w:rPr>
          <w:rFonts w:cs="Arial"/>
          <w:b/>
          <w:bCs/>
          <w:szCs w:val="24"/>
        </w:rPr>
        <w:t xml:space="preserve">Améliorer la participation du Secteur privé dans le processus d’intégration régionale </w:t>
      </w:r>
    </w:p>
    <w:p w14:paraId="5399C788" w14:textId="77777777" w:rsidR="008018B7" w:rsidRPr="00AA7159" w:rsidRDefault="008018B7" w:rsidP="003143D6">
      <w:pPr>
        <w:snapToGrid w:val="0"/>
        <w:ind w:right="57"/>
        <w:rPr>
          <w:rFonts w:cs="Arial"/>
          <w:b/>
          <w:color w:val="FF0000"/>
          <w:szCs w:val="24"/>
        </w:rPr>
      </w:pPr>
      <w:r w:rsidRPr="00AA7159">
        <w:rPr>
          <w:rFonts w:cs="Arial"/>
          <w:bCs/>
          <w:szCs w:val="24"/>
        </w:rPr>
        <w:t>Pour atteindre cet objectif spécifique, les actions suivantes sont prévues</w:t>
      </w:r>
      <w:r w:rsidRPr="00AA7159">
        <w:rPr>
          <w:rFonts w:cs="Arial"/>
          <w:b/>
          <w:bCs/>
          <w:szCs w:val="24"/>
        </w:rPr>
        <w:t> :</w:t>
      </w:r>
    </w:p>
    <w:p w14:paraId="4D88A15E" w14:textId="382CB20C" w:rsidR="008018B7" w:rsidRPr="00AA7159" w:rsidRDefault="008018B7" w:rsidP="001D1A34">
      <w:pPr>
        <w:pStyle w:val="Pardeliste"/>
        <w:numPr>
          <w:ilvl w:val="0"/>
          <w:numId w:val="29"/>
        </w:numPr>
        <w:snapToGrid w:val="0"/>
        <w:ind w:right="57"/>
        <w:contextualSpacing w:val="0"/>
        <w:rPr>
          <w:rFonts w:cs="Arial"/>
          <w:szCs w:val="24"/>
        </w:rPr>
      </w:pPr>
      <w:r w:rsidRPr="00DF60F4">
        <w:rPr>
          <w:rFonts w:cs="Arial"/>
          <w:b/>
          <w:i/>
          <w:szCs w:val="24"/>
          <w:u w:val="single"/>
        </w:rPr>
        <w:t xml:space="preserve">Action </w:t>
      </w:r>
      <w:r w:rsidR="00DF60F4">
        <w:rPr>
          <w:rFonts w:cs="Arial"/>
          <w:b/>
          <w:i/>
          <w:szCs w:val="24"/>
          <w:u w:val="single"/>
        </w:rPr>
        <w:t>1.</w:t>
      </w:r>
      <w:r w:rsidRPr="00DF60F4">
        <w:rPr>
          <w:rFonts w:cs="Arial"/>
          <w:b/>
          <w:i/>
          <w:szCs w:val="24"/>
          <w:u w:val="single"/>
        </w:rPr>
        <w:t>1</w:t>
      </w:r>
      <w:r w:rsidRPr="001D1A34">
        <w:rPr>
          <w:rFonts w:cs="Arial"/>
          <w:szCs w:val="24"/>
        </w:rPr>
        <w:t> :</w:t>
      </w:r>
      <w:r w:rsidRPr="00AA7159">
        <w:rPr>
          <w:rFonts w:cs="Arial"/>
          <w:szCs w:val="24"/>
        </w:rPr>
        <w:t xml:space="preserve"> Amélioration de l’environnement des affaires dans un sens favorable à l’intégration régionale</w:t>
      </w:r>
    </w:p>
    <w:p w14:paraId="0DA381BF" w14:textId="25B738AC" w:rsidR="008018B7" w:rsidRPr="00AA7159" w:rsidRDefault="008018B7" w:rsidP="001D1A34">
      <w:pPr>
        <w:pStyle w:val="Pardeliste"/>
        <w:numPr>
          <w:ilvl w:val="0"/>
          <w:numId w:val="29"/>
        </w:numPr>
        <w:snapToGrid w:val="0"/>
        <w:ind w:right="57"/>
        <w:contextualSpacing w:val="0"/>
        <w:rPr>
          <w:rFonts w:cs="Arial"/>
          <w:szCs w:val="24"/>
        </w:rPr>
      </w:pPr>
      <w:r w:rsidRPr="00DF60F4">
        <w:rPr>
          <w:rFonts w:cs="Arial"/>
          <w:b/>
          <w:i/>
          <w:szCs w:val="24"/>
          <w:u w:val="single"/>
        </w:rPr>
        <w:t xml:space="preserve">Action </w:t>
      </w:r>
      <w:r w:rsidR="00DF60F4">
        <w:rPr>
          <w:rFonts w:cs="Arial"/>
          <w:b/>
          <w:i/>
          <w:szCs w:val="24"/>
          <w:u w:val="single"/>
        </w:rPr>
        <w:t>1.</w:t>
      </w:r>
      <w:r w:rsidRPr="00DF60F4">
        <w:rPr>
          <w:rFonts w:cs="Arial"/>
          <w:b/>
          <w:i/>
          <w:szCs w:val="24"/>
          <w:u w:val="single"/>
        </w:rPr>
        <w:t>2</w:t>
      </w:r>
      <w:r w:rsidRPr="001D1A34">
        <w:rPr>
          <w:rFonts w:cs="Arial"/>
          <w:szCs w:val="24"/>
        </w:rPr>
        <w:t> :</w:t>
      </w:r>
      <w:r w:rsidRPr="00AA7159">
        <w:rPr>
          <w:rFonts w:cs="Arial"/>
          <w:szCs w:val="24"/>
        </w:rPr>
        <w:t xml:space="preserve"> Renforcement de la compétitivité des PME et PMI</w:t>
      </w:r>
    </w:p>
    <w:p w14:paraId="54B533C2" w14:textId="0105EED0" w:rsidR="008018B7" w:rsidRDefault="008018B7" w:rsidP="001D1A34">
      <w:pPr>
        <w:pStyle w:val="Pardeliste"/>
        <w:numPr>
          <w:ilvl w:val="0"/>
          <w:numId w:val="29"/>
        </w:numPr>
        <w:snapToGrid w:val="0"/>
        <w:ind w:right="57"/>
        <w:contextualSpacing w:val="0"/>
        <w:rPr>
          <w:rFonts w:cs="Arial"/>
          <w:szCs w:val="24"/>
        </w:rPr>
      </w:pPr>
      <w:r w:rsidRPr="00DF60F4">
        <w:rPr>
          <w:rFonts w:cs="Arial"/>
          <w:b/>
          <w:i/>
          <w:szCs w:val="24"/>
          <w:u w:val="single"/>
        </w:rPr>
        <w:t xml:space="preserve">Action </w:t>
      </w:r>
      <w:r w:rsidR="00DF60F4">
        <w:rPr>
          <w:rFonts w:cs="Arial"/>
          <w:b/>
          <w:i/>
          <w:szCs w:val="24"/>
          <w:u w:val="single"/>
        </w:rPr>
        <w:t>1.</w:t>
      </w:r>
      <w:r w:rsidRPr="00DF60F4">
        <w:rPr>
          <w:rFonts w:cs="Arial"/>
          <w:b/>
          <w:i/>
          <w:szCs w:val="24"/>
          <w:u w:val="single"/>
        </w:rPr>
        <w:t>3</w:t>
      </w:r>
      <w:r w:rsidRPr="001D1A34">
        <w:rPr>
          <w:rFonts w:cs="Arial"/>
          <w:szCs w:val="24"/>
        </w:rPr>
        <w:t> :</w:t>
      </w:r>
      <w:r w:rsidRPr="00AA7159">
        <w:rPr>
          <w:rFonts w:cs="Arial"/>
          <w:szCs w:val="24"/>
        </w:rPr>
        <w:t xml:space="preserve"> Mise en place d’un dispositif de veille économique sur l’intégration régionale (portail, études, bulletin et forum sur l’intégration régionale)</w:t>
      </w:r>
    </w:p>
    <w:p w14:paraId="0C28CDA9" w14:textId="77777777" w:rsidR="001D1A34" w:rsidRPr="001D1A34" w:rsidRDefault="001D1A34" w:rsidP="001D1A34">
      <w:pPr>
        <w:pStyle w:val="Pardeliste"/>
        <w:snapToGrid w:val="0"/>
        <w:ind w:left="993" w:right="57"/>
        <w:contextualSpacing w:val="0"/>
        <w:rPr>
          <w:rFonts w:cs="Arial"/>
          <w:sz w:val="4"/>
          <w:szCs w:val="4"/>
        </w:rPr>
      </w:pPr>
    </w:p>
    <w:p w14:paraId="468F7C3B" w14:textId="3D4B487E" w:rsidR="008018B7" w:rsidRPr="00AA7159" w:rsidRDefault="001D1A34" w:rsidP="001D1A34">
      <w:pPr>
        <w:tabs>
          <w:tab w:val="left" w:pos="950"/>
        </w:tabs>
        <w:snapToGrid w:val="0"/>
        <w:ind w:right="57"/>
        <w:rPr>
          <w:rFonts w:cs="Arial"/>
          <w:b/>
          <w:bCs/>
          <w:szCs w:val="24"/>
        </w:rPr>
      </w:pPr>
      <w:r w:rsidRPr="00AA7159">
        <w:rPr>
          <w:rFonts w:cs="Arial"/>
          <w:b/>
          <w:bCs/>
          <w:szCs w:val="24"/>
          <w:u w:val="single"/>
        </w:rPr>
        <w:t>OBJECTIF SPECIFIQUE 2</w:t>
      </w:r>
      <w:r w:rsidRPr="00AA7159">
        <w:rPr>
          <w:rFonts w:cs="Arial"/>
          <w:b/>
          <w:bCs/>
          <w:szCs w:val="24"/>
        </w:rPr>
        <w:t xml:space="preserve"> : </w:t>
      </w:r>
      <w:r w:rsidR="008018B7" w:rsidRPr="00AA7159">
        <w:rPr>
          <w:rFonts w:cs="Arial"/>
          <w:b/>
          <w:bCs/>
          <w:szCs w:val="24"/>
        </w:rPr>
        <w:t xml:space="preserve">Renforcer le positionnement du Sénégal sur les marchés régionaux </w:t>
      </w:r>
    </w:p>
    <w:p w14:paraId="099DCCB6" w14:textId="77777777" w:rsidR="008018B7" w:rsidRPr="00AA7159" w:rsidRDefault="008018B7" w:rsidP="003143D6">
      <w:pPr>
        <w:snapToGrid w:val="0"/>
        <w:ind w:right="57"/>
        <w:rPr>
          <w:rFonts w:cs="Arial"/>
          <w:b/>
          <w:color w:val="FF0000"/>
          <w:szCs w:val="24"/>
        </w:rPr>
      </w:pPr>
      <w:r w:rsidRPr="00AA7159">
        <w:rPr>
          <w:rFonts w:cs="Arial"/>
          <w:bCs/>
          <w:szCs w:val="24"/>
        </w:rPr>
        <w:t>Pour atteindre cet objectif spécifique, les actions suivantes sont prévues</w:t>
      </w:r>
      <w:r w:rsidRPr="00AA7159">
        <w:rPr>
          <w:rFonts w:cs="Arial"/>
          <w:b/>
          <w:bCs/>
          <w:szCs w:val="24"/>
        </w:rPr>
        <w:t> :</w:t>
      </w:r>
    </w:p>
    <w:p w14:paraId="05C31D77" w14:textId="5BA74A3F" w:rsidR="008018B7" w:rsidRPr="001D1A34" w:rsidRDefault="008018B7" w:rsidP="001D1A34">
      <w:pPr>
        <w:pStyle w:val="Pardeliste"/>
        <w:numPr>
          <w:ilvl w:val="0"/>
          <w:numId w:val="29"/>
        </w:numPr>
        <w:snapToGrid w:val="0"/>
        <w:ind w:right="57"/>
        <w:contextualSpacing w:val="0"/>
        <w:rPr>
          <w:rFonts w:cs="Arial"/>
          <w:b/>
          <w:i/>
          <w:szCs w:val="24"/>
          <w:u w:val="single"/>
        </w:rPr>
      </w:pPr>
      <w:r w:rsidRPr="001D1A34">
        <w:rPr>
          <w:rFonts w:cs="Arial"/>
          <w:b/>
          <w:i/>
          <w:szCs w:val="24"/>
          <w:u w:val="single"/>
        </w:rPr>
        <w:t xml:space="preserve">Action </w:t>
      </w:r>
      <w:r w:rsidR="00DF60F4">
        <w:rPr>
          <w:rFonts w:cs="Arial"/>
          <w:b/>
          <w:i/>
          <w:szCs w:val="24"/>
          <w:u w:val="single"/>
        </w:rPr>
        <w:t>2.</w:t>
      </w:r>
      <w:r w:rsidRPr="001D1A34">
        <w:rPr>
          <w:rFonts w:cs="Arial"/>
          <w:b/>
          <w:i/>
          <w:szCs w:val="24"/>
          <w:u w:val="single"/>
        </w:rPr>
        <w:t>1 </w:t>
      </w:r>
      <w:r w:rsidRPr="002C6989">
        <w:rPr>
          <w:rFonts w:cs="Arial"/>
          <w:i/>
          <w:szCs w:val="24"/>
        </w:rPr>
        <w:t xml:space="preserve">: </w:t>
      </w:r>
      <w:r w:rsidRPr="00265DD4">
        <w:rPr>
          <w:rFonts w:cs="Arial"/>
          <w:szCs w:val="24"/>
        </w:rPr>
        <w:t>articulation des stratégies nationales avec celles des organisations régionales</w:t>
      </w:r>
    </w:p>
    <w:p w14:paraId="294E0C50" w14:textId="3BD844EE" w:rsidR="008018B7" w:rsidRPr="001D1A34" w:rsidRDefault="008018B7" w:rsidP="001D1A34">
      <w:pPr>
        <w:pStyle w:val="Pardeliste"/>
        <w:numPr>
          <w:ilvl w:val="0"/>
          <w:numId w:val="29"/>
        </w:numPr>
        <w:snapToGrid w:val="0"/>
        <w:ind w:right="57"/>
        <w:contextualSpacing w:val="0"/>
        <w:rPr>
          <w:rFonts w:cs="Arial"/>
          <w:b/>
          <w:i/>
          <w:szCs w:val="24"/>
          <w:u w:val="single"/>
        </w:rPr>
      </w:pPr>
      <w:r w:rsidRPr="001D1A34">
        <w:rPr>
          <w:rFonts w:cs="Arial"/>
          <w:b/>
          <w:i/>
          <w:szCs w:val="24"/>
          <w:u w:val="single"/>
        </w:rPr>
        <w:t xml:space="preserve">Action </w:t>
      </w:r>
      <w:r w:rsidR="00DF60F4">
        <w:rPr>
          <w:rFonts w:cs="Arial"/>
          <w:b/>
          <w:i/>
          <w:szCs w:val="24"/>
          <w:u w:val="single"/>
        </w:rPr>
        <w:t>2.</w:t>
      </w:r>
      <w:r w:rsidRPr="001D1A34">
        <w:rPr>
          <w:rFonts w:cs="Arial"/>
          <w:b/>
          <w:i/>
          <w:szCs w:val="24"/>
          <w:u w:val="single"/>
        </w:rPr>
        <w:t>2 </w:t>
      </w:r>
      <w:r w:rsidRPr="002C6989">
        <w:rPr>
          <w:rFonts w:cs="Arial"/>
          <w:i/>
          <w:szCs w:val="24"/>
        </w:rPr>
        <w:t xml:space="preserve">: </w:t>
      </w:r>
      <w:r w:rsidRPr="00265DD4">
        <w:rPr>
          <w:rFonts w:cs="Arial"/>
          <w:szCs w:val="24"/>
        </w:rPr>
        <w:t>Renforcement de l’insertion dans les chaines de valeur régionales</w:t>
      </w:r>
    </w:p>
    <w:p w14:paraId="323B27BD" w14:textId="72D92EEE" w:rsidR="008018B7" w:rsidRPr="00265DD4" w:rsidRDefault="008018B7" w:rsidP="001D1A34">
      <w:pPr>
        <w:pStyle w:val="Pardeliste"/>
        <w:numPr>
          <w:ilvl w:val="0"/>
          <w:numId w:val="29"/>
        </w:numPr>
        <w:snapToGrid w:val="0"/>
        <w:ind w:right="57"/>
        <w:contextualSpacing w:val="0"/>
        <w:rPr>
          <w:rFonts w:cs="Arial"/>
          <w:szCs w:val="24"/>
        </w:rPr>
      </w:pPr>
      <w:r w:rsidRPr="001D1A34">
        <w:rPr>
          <w:rFonts w:cs="Arial"/>
          <w:b/>
          <w:i/>
          <w:szCs w:val="24"/>
          <w:u w:val="single"/>
        </w:rPr>
        <w:t xml:space="preserve">Action </w:t>
      </w:r>
      <w:r w:rsidR="00DF60F4">
        <w:rPr>
          <w:rFonts w:cs="Arial"/>
          <w:b/>
          <w:i/>
          <w:szCs w:val="24"/>
          <w:u w:val="single"/>
        </w:rPr>
        <w:t>2.</w:t>
      </w:r>
      <w:r w:rsidRPr="001D1A34">
        <w:rPr>
          <w:rFonts w:cs="Arial"/>
          <w:b/>
          <w:i/>
          <w:szCs w:val="24"/>
          <w:u w:val="single"/>
        </w:rPr>
        <w:t xml:space="preserve">3 </w:t>
      </w:r>
      <w:r w:rsidRPr="002C6989">
        <w:rPr>
          <w:rFonts w:cs="Arial"/>
          <w:i/>
          <w:szCs w:val="24"/>
        </w:rPr>
        <w:t xml:space="preserve">: </w:t>
      </w:r>
      <w:r w:rsidRPr="00265DD4">
        <w:rPr>
          <w:rFonts w:cs="Arial"/>
          <w:szCs w:val="24"/>
        </w:rPr>
        <w:t>Amélioration de la contribution régionale du commerce extérieur</w:t>
      </w:r>
    </w:p>
    <w:p w14:paraId="49B7AF2C" w14:textId="77777777" w:rsidR="002C6989" w:rsidRPr="002C6989" w:rsidRDefault="002C6989" w:rsidP="002C6989">
      <w:pPr>
        <w:pStyle w:val="Pardeliste"/>
        <w:snapToGrid w:val="0"/>
        <w:ind w:right="57"/>
        <w:contextualSpacing w:val="0"/>
        <w:rPr>
          <w:rFonts w:cs="Arial"/>
          <w:i/>
          <w:sz w:val="8"/>
          <w:szCs w:val="8"/>
        </w:rPr>
      </w:pPr>
    </w:p>
    <w:p w14:paraId="22704CDD" w14:textId="5B0965C4" w:rsidR="008018B7" w:rsidRPr="00AA7159" w:rsidRDefault="001D1A34" w:rsidP="001D1A34">
      <w:pPr>
        <w:tabs>
          <w:tab w:val="left" w:pos="950"/>
        </w:tabs>
        <w:snapToGrid w:val="0"/>
        <w:ind w:right="57"/>
        <w:rPr>
          <w:rFonts w:cs="Arial"/>
          <w:b/>
          <w:bCs/>
          <w:szCs w:val="24"/>
        </w:rPr>
      </w:pPr>
      <w:r w:rsidRPr="00AA7159">
        <w:rPr>
          <w:rFonts w:cs="Arial"/>
          <w:b/>
          <w:bCs/>
          <w:szCs w:val="24"/>
          <w:u w:val="single"/>
        </w:rPr>
        <w:t>OBJECTIF SPECIFIQUE 3</w:t>
      </w:r>
      <w:r w:rsidRPr="00AA7159">
        <w:rPr>
          <w:rFonts w:cs="Arial"/>
          <w:b/>
          <w:bCs/>
          <w:szCs w:val="24"/>
        </w:rPr>
        <w:t xml:space="preserve"> </w:t>
      </w:r>
      <w:r w:rsidR="008018B7" w:rsidRPr="00AA7159">
        <w:rPr>
          <w:rFonts w:cs="Arial"/>
          <w:b/>
          <w:bCs/>
          <w:szCs w:val="24"/>
        </w:rPr>
        <w:t>: Développer les infrastructures en faveur de l’intégration régionale</w:t>
      </w:r>
    </w:p>
    <w:p w14:paraId="49416D89" w14:textId="77777777" w:rsidR="008018B7" w:rsidRPr="00AA7159" w:rsidRDefault="008018B7" w:rsidP="003143D6">
      <w:pPr>
        <w:snapToGrid w:val="0"/>
        <w:ind w:right="57"/>
        <w:rPr>
          <w:rFonts w:cs="Arial"/>
          <w:b/>
          <w:color w:val="FF0000"/>
          <w:szCs w:val="24"/>
        </w:rPr>
      </w:pPr>
      <w:r w:rsidRPr="00AA7159">
        <w:rPr>
          <w:rFonts w:cs="Arial"/>
          <w:bCs/>
          <w:szCs w:val="24"/>
        </w:rPr>
        <w:t>Pour atteindre cet objectif spécifique, les actions suivantes sont prévues</w:t>
      </w:r>
      <w:r w:rsidRPr="00AA7159">
        <w:rPr>
          <w:rFonts w:cs="Arial"/>
          <w:b/>
          <w:bCs/>
          <w:szCs w:val="24"/>
        </w:rPr>
        <w:t> :</w:t>
      </w:r>
    </w:p>
    <w:p w14:paraId="6E1403E6" w14:textId="4C0BFB19" w:rsidR="008018B7" w:rsidRPr="00AA7159" w:rsidRDefault="008018B7" w:rsidP="002C6989">
      <w:pPr>
        <w:pStyle w:val="Pardeliste"/>
        <w:numPr>
          <w:ilvl w:val="0"/>
          <w:numId w:val="29"/>
        </w:numPr>
        <w:snapToGrid w:val="0"/>
        <w:ind w:right="57"/>
        <w:contextualSpacing w:val="0"/>
        <w:rPr>
          <w:rFonts w:cs="Arial"/>
          <w:szCs w:val="24"/>
        </w:rPr>
      </w:pPr>
      <w:r w:rsidRPr="001D1A34">
        <w:rPr>
          <w:rFonts w:cs="Arial"/>
          <w:b/>
          <w:i/>
          <w:szCs w:val="24"/>
          <w:u w:val="single"/>
        </w:rPr>
        <w:t xml:space="preserve">Action </w:t>
      </w:r>
      <w:r w:rsidR="00265DD4">
        <w:rPr>
          <w:rFonts w:cs="Arial"/>
          <w:b/>
          <w:i/>
          <w:szCs w:val="24"/>
          <w:u w:val="single"/>
        </w:rPr>
        <w:t>3.</w:t>
      </w:r>
      <w:r w:rsidRPr="001D1A34">
        <w:rPr>
          <w:rFonts w:cs="Arial"/>
          <w:b/>
          <w:i/>
          <w:szCs w:val="24"/>
          <w:u w:val="single"/>
        </w:rPr>
        <w:t>1</w:t>
      </w:r>
      <w:r w:rsidRPr="001D1A34">
        <w:rPr>
          <w:rFonts w:cs="Arial"/>
          <w:szCs w:val="24"/>
        </w:rPr>
        <w:t> :</w:t>
      </w:r>
      <w:r w:rsidRPr="00AA7159">
        <w:rPr>
          <w:rFonts w:cs="Arial"/>
          <w:szCs w:val="24"/>
        </w:rPr>
        <w:t xml:space="preserve"> Amélioration de l’accès des entreprises à des services énergétiques durables et de qualité</w:t>
      </w:r>
    </w:p>
    <w:p w14:paraId="10E6744F" w14:textId="02ACDBA2" w:rsidR="008018B7" w:rsidRPr="00AA7159" w:rsidRDefault="008018B7" w:rsidP="002C6989">
      <w:pPr>
        <w:pStyle w:val="Pardeliste"/>
        <w:numPr>
          <w:ilvl w:val="0"/>
          <w:numId w:val="29"/>
        </w:numPr>
        <w:snapToGrid w:val="0"/>
        <w:ind w:right="57"/>
        <w:contextualSpacing w:val="0"/>
        <w:rPr>
          <w:rFonts w:cs="Arial"/>
          <w:szCs w:val="24"/>
        </w:rPr>
      </w:pPr>
      <w:r w:rsidRPr="001D1A34">
        <w:rPr>
          <w:rFonts w:cs="Arial"/>
          <w:b/>
          <w:i/>
          <w:szCs w:val="24"/>
          <w:u w:val="single"/>
        </w:rPr>
        <w:t xml:space="preserve">Action </w:t>
      </w:r>
      <w:r w:rsidR="00265DD4">
        <w:rPr>
          <w:rFonts w:cs="Arial"/>
          <w:b/>
          <w:i/>
          <w:szCs w:val="24"/>
          <w:u w:val="single"/>
        </w:rPr>
        <w:t>3.</w:t>
      </w:r>
      <w:r w:rsidRPr="001D1A34">
        <w:rPr>
          <w:rFonts w:cs="Arial"/>
          <w:b/>
          <w:i/>
          <w:szCs w:val="24"/>
          <w:u w:val="single"/>
        </w:rPr>
        <w:t>2</w:t>
      </w:r>
      <w:r w:rsidRPr="001D1A34">
        <w:rPr>
          <w:rFonts w:cs="Arial"/>
          <w:b/>
          <w:szCs w:val="24"/>
        </w:rPr>
        <w:t> :</w:t>
      </w:r>
      <w:r w:rsidRPr="00AA7159">
        <w:rPr>
          <w:rFonts w:cs="Arial"/>
          <w:szCs w:val="24"/>
        </w:rPr>
        <w:t xml:space="preserve"> Développement de réseaux routier, aérien, ferroviaire et maritime de qualité pour faciliter la libre circulation des personnes et des biens</w:t>
      </w:r>
    </w:p>
    <w:p w14:paraId="7408C7F3" w14:textId="3C727865" w:rsidR="008018B7" w:rsidRDefault="008018B7" w:rsidP="002C6989">
      <w:pPr>
        <w:pStyle w:val="Pardeliste"/>
        <w:numPr>
          <w:ilvl w:val="0"/>
          <w:numId w:val="29"/>
        </w:numPr>
        <w:snapToGrid w:val="0"/>
        <w:ind w:right="57"/>
        <w:contextualSpacing w:val="0"/>
        <w:rPr>
          <w:rFonts w:cs="Arial"/>
          <w:szCs w:val="24"/>
        </w:rPr>
      </w:pPr>
      <w:r w:rsidRPr="001D1A34">
        <w:rPr>
          <w:rFonts w:cs="Arial"/>
          <w:b/>
          <w:i/>
          <w:szCs w:val="24"/>
          <w:u w:val="single"/>
        </w:rPr>
        <w:lastRenderedPageBreak/>
        <w:t xml:space="preserve">Action </w:t>
      </w:r>
      <w:r w:rsidR="00265DD4">
        <w:rPr>
          <w:rFonts w:cs="Arial"/>
          <w:b/>
          <w:i/>
          <w:szCs w:val="24"/>
          <w:u w:val="single"/>
        </w:rPr>
        <w:t>3.</w:t>
      </w:r>
      <w:r w:rsidRPr="001D1A34">
        <w:rPr>
          <w:rFonts w:cs="Arial"/>
          <w:b/>
          <w:i/>
          <w:szCs w:val="24"/>
          <w:u w:val="single"/>
        </w:rPr>
        <w:t>3</w:t>
      </w:r>
      <w:r w:rsidRPr="001D1A34">
        <w:rPr>
          <w:rFonts w:cs="Arial"/>
          <w:b/>
          <w:i/>
          <w:szCs w:val="24"/>
        </w:rPr>
        <w:t> :</w:t>
      </w:r>
      <w:r w:rsidRPr="00AA7159">
        <w:rPr>
          <w:rFonts w:cs="Arial"/>
          <w:szCs w:val="24"/>
        </w:rPr>
        <w:t xml:space="preserve"> Amélioration du positionnement du Sénégal comme centre régional de référence académique, médical, numérique et minier</w:t>
      </w:r>
    </w:p>
    <w:p w14:paraId="26C818D5" w14:textId="77777777" w:rsidR="002C6989" w:rsidRPr="002C6989" w:rsidRDefault="002C6989" w:rsidP="002C6989">
      <w:pPr>
        <w:pStyle w:val="Pardeliste"/>
        <w:snapToGrid w:val="0"/>
        <w:ind w:right="57"/>
        <w:contextualSpacing w:val="0"/>
        <w:rPr>
          <w:rFonts w:cs="Arial"/>
          <w:sz w:val="6"/>
          <w:szCs w:val="6"/>
        </w:rPr>
      </w:pPr>
    </w:p>
    <w:p w14:paraId="0FEB9989" w14:textId="35F531AC" w:rsidR="008018B7" w:rsidRPr="00AA7159" w:rsidRDefault="001D1A34" w:rsidP="001D1A34">
      <w:pPr>
        <w:snapToGrid w:val="0"/>
        <w:ind w:left="284" w:right="57"/>
        <w:rPr>
          <w:rFonts w:cs="Arial"/>
          <w:b/>
          <w:szCs w:val="24"/>
        </w:rPr>
      </w:pPr>
      <w:r w:rsidRPr="00AA7159">
        <w:rPr>
          <w:rFonts w:cs="Arial"/>
          <w:b/>
          <w:bCs/>
          <w:szCs w:val="24"/>
          <w:u w:val="single"/>
        </w:rPr>
        <w:t>OBJECTIF SPECIFIQUE 4</w:t>
      </w:r>
      <w:r>
        <w:rPr>
          <w:rFonts w:cs="Arial"/>
          <w:b/>
          <w:bCs/>
          <w:szCs w:val="24"/>
          <w:u w:val="single"/>
        </w:rPr>
        <w:t> :</w:t>
      </w:r>
      <w:r w:rsidRPr="00AA7159">
        <w:rPr>
          <w:rFonts w:cs="Arial"/>
          <w:b/>
          <w:szCs w:val="24"/>
        </w:rPr>
        <w:t xml:space="preserve"> </w:t>
      </w:r>
      <w:r w:rsidR="008018B7" w:rsidRPr="00AA7159">
        <w:rPr>
          <w:rFonts w:cs="Arial"/>
          <w:b/>
          <w:szCs w:val="24"/>
        </w:rPr>
        <w:t xml:space="preserve">Promouvoir une gestion durable (concertée) des ressources naturelles </w:t>
      </w:r>
    </w:p>
    <w:p w14:paraId="5C6DD1BE" w14:textId="77777777" w:rsidR="008018B7" w:rsidRPr="00AA7159" w:rsidRDefault="008018B7" w:rsidP="003143D6">
      <w:pPr>
        <w:snapToGrid w:val="0"/>
        <w:ind w:right="57"/>
        <w:rPr>
          <w:rFonts w:cs="Arial"/>
          <w:b/>
          <w:color w:val="FF0000"/>
          <w:szCs w:val="24"/>
        </w:rPr>
      </w:pPr>
      <w:r w:rsidRPr="00AA7159">
        <w:rPr>
          <w:rFonts w:cs="Arial"/>
          <w:bCs/>
          <w:szCs w:val="24"/>
        </w:rPr>
        <w:t>Pour atteindre cet objectif spécifique, les actions suivantes sont prévues</w:t>
      </w:r>
      <w:r w:rsidRPr="00AA7159">
        <w:rPr>
          <w:rFonts w:cs="Arial"/>
          <w:b/>
          <w:bCs/>
          <w:szCs w:val="24"/>
        </w:rPr>
        <w:t> :</w:t>
      </w:r>
    </w:p>
    <w:p w14:paraId="7C144FF8" w14:textId="0E818A6C" w:rsidR="008018B7" w:rsidRPr="00AA7159" w:rsidRDefault="008018B7" w:rsidP="002C6989">
      <w:pPr>
        <w:pStyle w:val="Pardeliste"/>
        <w:numPr>
          <w:ilvl w:val="0"/>
          <w:numId w:val="29"/>
        </w:numPr>
        <w:snapToGrid w:val="0"/>
        <w:ind w:right="57"/>
        <w:contextualSpacing w:val="0"/>
        <w:rPr>
          <w:rFonts w:cs="Arial"/>
          <w:szCs w:val="24"/>
        </w:rPr>
      </w:pPr>
      <w:r w:rsidRPr="001D1A34">
        <w:rPr>
          <w:rFonts w:cs="Arial"/>
          <w:b/>
          <w:i/>
          <w:szCs w:val="24"/>
          <w:u w:val="single"/>
        </w:rPr>
        <w:t xml:space="preserve">Action </w:t>
      </w:r>
      <w:r w:rsidR="00265DD4">
        <w:rPr>
          <w:rFonts w:cs="Arial"/>
          <w:b/>
          <w:i/>
          <w:szCs w:val="24"/>
          <w:u w:val="single"/>
        </w:rPr>
        <w:t>4.</w:t>
      </w:r>
      <w:r w:rsidRPr="001D1A34">
        <w:rPr>
          <w:rFonts w:cs="Arial"/>
          <w:b/>
          <w:i/>
          <w:szCs w:val="24"/>
          <w:u w:val="single"/>
        </w:rPr>
        <w:t>1</w:t>
      </w:r>
      <w:r w:rsidRPr="001D1A34">
        <w:rPr>
          <w:rFonts w:cs="Arial"/>
          <w:b/>
          <w:i/>
          <w:szCs w:val="24"/>
        </w:rPr>
        <w:t> :</w:t>
      </w:r>
      <w:r w:rsidRPr="00AA7159">
        <w:rPr>
          <w:rFonts w:cs="Arial"/>
          <w:szCs w:val="24"/>
        </w:rPr>
        <w:t xml:space="preserve"> Amélioration de la gestion des ressources en eau pour des usages multiples (agriculture, transport, production et distribution d’énergie hydroélectrique)</w:t>
      </w:r>
    </w:p>
    <w:p w14:paraId="324CD727" w14:textId="1AA7FF8B" w:rsidR="008018B7" w:rsidRPr="00AA7159" w:rsidRDefault="008018B7" w:rsidP="002C6989">
      <w:pPr>
        <w:pStyle w:val="Pardeliste"/>
        <w:numPr>
          <w:ilvl w:val="0"/>
          <w:numId w:val="29"/>
        </w:numPr>
        <w:snapToGrid w:val="0"/>
        <w:ind w:right="57"/>
        <w:contextualSpacing w:val="0"/>
        <w:rPr>
          <w:rFonts w:cs="Arial"/>
          <w:szCs w:val="24"/>
        </w:rPr>
      </w:pPr>
      <w:r w:rsidRPr="001D1A34">
        <w:rPr>
          <w:rFonts w:cs="Arial"/>
          <w:b/>
          <w:i/>
          <w:szCs w:val="24"/>
          <w:u w:val="single"/>
        </w:rPr>
        <w:t xml:space="preserve">Action </w:t>
      </w:r>
      <w:r w:rsidR="00265DD4">
        <w:rPr>
          <w:rFonts w:cs="Arial"/>
          <w:b/>
          <w:i/>
          <w:szCs w:val="24"/>
          <w:u w:val="single"/>
        </w:rPr>
        <w:t>4.</w:t>
      </w:r>
      <w:r w:rsidRPr="001D1A34">
        <w:rPr>
          <w:rFonts w:cs="Arial"/>
          <w:b/>
          <w:i/>
          <w:szCs w:val="24"/>
          <w:u w:val="single"/>
        </w:rPr>
        <w:t>2</w:t>
      </w:r>
      <w:r w:rsidR="001D1A34" w:rsidRPr="001D1A34">
        <w:rPr>
          <w:rFonts w:cs="Arial"/>
          <w:b/>
          <w:i/>
          <w:szCs w:val="24"/>
        </w:rPr>
        <w:t xml:space="preserve"> </w:t>
      </w:r>
      <w:r w:rsidRPr="001D1A34">
        <w:rPr>
          <w:rFonts w:cs="Arial"/>
          <w:b/>
          <w:i/>
          <w:szCs w:val="24"/>
        </w:rPr>
        <w:t>:</w:t>
      </w:r>
      <w:r w:rsidRPr="00AA7159">
        <w:rPr>
          <w:rFonts w:cs="Arial"/>
          <w:szCs w:val="24"/>
        </w:rPr>
        <w:t xml:space="preserve"> Gestion inclusive et durable des ressources extractives et environnementales </w:t>
      </w:r>
    </w:p>
    <w:p w14:paraId="48E6C8F6" w14:textId="3A0334B7" w:rsidR="008018B7" w:rsidRPr="00AA7159" w:rsidRDefault="008018B7" w:rsidP="002C6989">
      <w:pPr>
        <w:pStyle w:val="Pardeliste"/>
        <w:numPr>
          <w:ilvl w:val="0"/>
          <w:numId w:val="29"/>
        </w:numPr>
        <w:snapToGrid w:val="0"/>
        <w:ind w:right="57"/>
        <w:contextualSpacing w:val="0"/>
        <w:rPr>
          <w:rFonts w:cs="Arial"/>
          <w:b/>
          <w:bCs/>
          <w:szCs w:val="24"/>
        </w:rPr>
      </w:pPr>
      <w:r w:rsidRPr="001D1A34">
        <w:rPr>
          <w:rFonts w:cs="Arial"/>
          <w:b/>
          <w:i/>
          <w:szCs w:val="24"/>
          <w:u w:val="single"/>
        </w:rPr>
        <w:t xml:space="preserve">Action </w:t>
      </w:r>
      <w:r w:rsidR="00265DD4">
        <w:rPr>
          <w:rFonts w:cs="Arial"/>
          <w:b/>
          <w:i/>
          <w:szCs w:val="24"/>
          <w:u w:val="single"/>
        </w:rPr>
        <w:t>4.</w:t>
      </w:r>
      <w:r w:rsidRPr="001D1A34">
        <w:rPr>
          <w:rFonts w:cs="Arial"/>
          <w:b/>
          <w:i/>
          <w:szCs w:val="24"/>
          <w:u w:val="single"/>
        </w:rPr>
        <w:t>3</w:t>
      </w:r>
      <w:r w:rsidRPr="00AA7159">
        <w:rPr>
          <w:rFonts w:cs="Arial"/>
          <w:szCs w:val="24"/>
        </w:rPr>
        <w:t> : Renforcement de la gestion (prévention) des risques de catastrophes</w:t>
      </w:r>
    </w:p>
    <w:p w14:paraId="58B85E61" w14:textId="3682ED8A" w:rsidR="008018B7" w:rsidRPr="00AA7159" w:rsidRDefault="001D1A34" w:rsidP="001D1A34">
      <w:pPr>
        <w:pStyle w:val="Titre2"/>
      </w:pPr>
      <w:bookmarkStart w:id="88" w:name="_Toc134287612"/>
      <w:bookmarkStart w:id="89" w:name="_Toc135140192"/>
      <w:r>
        <w:t xml:space="preserve">VI. </w:t>
      </w:r>
      <w:r w:rsidR="008018B7" w:rsidRPr="00AA7159">
        <w:t>MISE EN ŒUVRE, COORDINATION ET DISPOSITIF DE SUIVI-EVALUATION</w:t>
      </w:r>
      <w:bookmarkEnd w:id="88"/>
      <w:bookmarkEnd w:id="89"/>
    </w:p>
    <w:p w14:paraId="3409A759" w14:textId="77777777" w:rsidR="008018B7" w:rsidRPr="00AA7159" w:rsidRDefault="008018B7" w:rsidP="003B7889">
      <w:pPr>
        <w:snapToGrid w:val="0"/>
        <w:ind w:right="57"/>
        <w:rPr>
          <w:rFonts w:cs="Arial"/>
          <w:szCs w:val="24"/>
        </w:rPr>
      </w:pPr>
      <w:r w:rsidRPr="00AA7159">
        <w:rPr>
          <w:rFonts w:cs="Arial"/>
          <w:szCs w:val="24"/>
        </w:rPr>
        <w:t>Sur la période de référence, la stratégie nationale sera opérationnalisée à travers des actions prioritaires. Le suivi et l’évaluation de sa mise en œuvre se feront à travers des rapports périodiques.</w:t>
      </w:r>
    </w:p>
    <w:p w14:paraId="7165E1B0" w14:textId="0F2A2156" w:rsidR="008018B7" w:rsidRPr="00AA7159" w:rsidRDefault="003B7889" w:rsidP="003B7889">
      <w:pPr>
        <w:pStyle w:val="Titre3"/>
        <w:ind w:left="0"/>
      </w:pPr>
      <w:bookmarkStart w:id="90" w:name="_Toc134287613"/>
      <w:bookmarkStart w:id="91" w:name="_Toc135140193"/>
      <w:r>
        <w:t xml:space="preserve">VI.1. </w:t>
      </w:r>
      <w:r w:rsidR="008018B7" w:rsidRPr="00AA7159">
        <w:t>Mise en œuvre et dispositif de coordination</w:t>
      </w:r>
      <w:bookmarkEnd w:id="90"/>
      <w:bookmarkEnd w:id="91"/>
    </w:p>
    <w:p w14:paraId="6D5F1AFB" w14:textId="1316E317" w:rsidR="008018B7" w:rsidRPr="00AA7159" w:rsidRDefault="003B7889" w:rsidP="003B7889">
      <w:pPr>
        <w:pStyle w:val="Titre4"/>
        <w:ind w:left="0"/>
      </w:pPr>
      <w:bookmarkStart w:id="92" w:name="_Toc134287614"/>
      <w:bookmarkStart w:id="93" w:name="_Toc135140194"/>
      <w:r>
        <w:t xml:space="preserve">VI.1.1. </w:t>
      </w:r>
      <w:r w:rsidR="008018B7" w:rsidRPr="00AA7159">
        <w:t>Mise en œuvre</w:t>
      </w:r>
      <w:bookmarkEnd w:id="92"/>
      <w:bookmarkEnd w:id="93"/>
      <w:r w:rsidR="008018B7" w:rsidRPr="00AA7159">
        <w:t xml:space="preserve"> </w:t>
      </w:r>
    </w:p>
    <w:p w14:paraId="749B050B" w14:textId="1D0B5D73" w:rsidR="008018B7" w:rsidRPr="00AA7159" w:rsidRDefault="00265DD4" w:rsidP="003B7889">
      <w:pPr>
        <w:snapToGrid w:val="0"/>
        <w:ind w:right="57"/>
        <w:rPr>
          <w:rFonts w:cs="Arial"/>
          <w:szCs w:val="24"/>
        </w:rPr>
      </w:pPr>
      <w:r w:rsidRPr="00265DD4">
        <w:rPr>
          <w:rFonts w:cs="Arial"/>
          <w:szCs w:val="24"/>
        </w:rPr>
        <w:t>Le document de stratégie nationale d’intégration une fois validé, devrait faire l’objet d’une mise en œuvre par toutes les structures concernées. A cet effet, pour donner un cachet solennel et renforcer ses chances de succès, un atelier de lancement sera organisé sous la présidence soit du Premier Ministre ou du Ministre de l’Economie, du Plan et de Coopération avec la participation des principaux ministres impliqués ainsi que des organisations internationales, régionales, de la société civile et du secteur privé. Il permettra ainsi aux plus hautes Autorités politiques et administratives de prendre connaissance et de s’approprier du document de stratégie nationale d’intégration</w:t>
      </w:r>
      <w:r w:rsidR="008018B7" w:rsidRPr="00AA7159">
        <w:rPr>
          <w:rFonts w:cs="Arial"/>
          <w:szCs w:val="24"/>
        </w:rPr>
        <w:t>.</w:t>
      </w:r>
    </w:p>
    <w:p w14:paraId="7A1D6C8E" w14:textId="2F472068" w:rsidR="008018B7" w:rsidRPr="003B7889" w:rsidRDefault="003B7889" w:rsidP="003B7889">
      <w:pPr>
        <w:pStyle w:val="Titre4"/>
        <w:ind w:left="0"/>
      </w:pPr>
      <w:bookmarkStart w:id="94" w:name="_Toc134287615"/>
      <w:bookmarkStart w:id="95" w:name="_Toc135140195"/>
      <w:r w:rsidRPr="003B7889">
        <w:t xml:space="preserve">VI.1.2. </w:t>
      </w:r>
      <w:r w:rsidR="008018B7" w:rsidRPr="003B7889">
        <w:t>Dispositif de coordination</w:t>
      </w:r>
      <w:bookmarkEnd w:id="94"/>
      <w:bookmarkEnd w:id="95"/>
    </w:p>
    <w:p w14:paraId="55DA83A3" w14:textId="38C1EF19" w:rsidR="008018B7" w:rsidRPr="00AA7159" w:rsidRDefault="003B7889" w:rsidP="003B7889">
      <w:pPr>
        <w:pStyle w:val="Titre5"/>
        <w:ind w:left="0"/>
      </w:pPr>
      <w:bookmarkStart w:id="96" w:name="_Toc134287616"/>
      <w:bookmarkStart w:id="97" w:name="_Toc135140196"/>
      <w:r w:rsidRPr="003B7889">
        <w:t>VI.1.2.</w:t>
      </w:r>
      <w:r>
        <w:t>1.</w:t>
      </w:r>
      <w:r w:rsidRPr="003B7889">
        <w:t xml:space="preserve"> </w:t>
      </w:r>
      <w:r w:rsidR="008018B7" w:rsidRPr="00AA7159">
        <w:t>Le Conseil national sur l’Intégration</w:t>
      </w:r>
      <w:bookmarkEnd w:id="96"/>
      <w:bookmarkEnd w:id="97"/>
    </w:p>
    <w:p w14:paraId="2A07BA68" w14:textId="77777777" w:rsidR="00265DD4" w:rsidRPr="00913D81" w:rsidRDefault="00265DD4" w:rsidP="00265DD4">
      <w:pPr>
        <w:spacing w:after="60"/>
        <w:ind w:right="57"/>
        <w:rPr>
          <w:rFonts w:cs="Arial"/>
          <w:szCs w:val="24"/>
        </w:rPr>
      </w:pPr>
      <w:r w:rsidRPr="00913D81">
        <w:rPr>
          <w:rFonts w:cs="Arial"/>
          <w:szCs w:val="24"/>
        </w:rPr>
        <w:t xml:space="preserve">Les enjeux actuels de l’intégration régionale tournent essentiellement autour de la mise en œuvre effective et optimale des politiques, réformes, programmes et projets adoptés aux niveaux sous régional et régional. A cet effet, le pilotage et l’impulsion politiques sont devenus des missions déterminantes de la gouvernance publique. L’implication des plus hautes autorités dans la définition des orientations stratégiques, le suivi et l’évaluation sont d’autant plus nécessaires que la gestion de l’intégration est actuellement éclatée entre plusieurs administrations. Les impacts considérables, sur les politiques publiques, les engagements et décisions communautaires justifient une plus grande attention des plus hautes autorités en ce qui concerne la participation du Sénégal aux différents processus d’intégration. Il s’y ajoute que les décisions des organisations d’intégration régionale tant dans leur fonctionnement que dans leurs missions sont de plus en plus politiques et stratégiques en raison du contexte mondial et régional. C’est dire qu’il y a une urgence d’imprimer un cachet plus politique à la participation du Sénégal dans les </w:t>
      </w:r>
      <w:r w:rsidRPr="00913D81">
        <w:rPr>
          <w:rFonts w:cs="Arial"/>
          <w:szCs w:val="24"/>
        </w:rPr>
        <w:lastRenderedPageBreak/>
        <w:t>processus d’intégration. La gestion optimale de l’intégration régionale doit être un objectif prioritaire, portée au plus haut niveau de l’Etat.</w:t>
      </w:r>
    </w:p>
    <w:p w14:paraId="0586ED3E" w14:textId="77777777" w:rsidR="00265DD4" w:rsidRPr="00913D81" w:rsidRDefault="00265DD4" w:rsidP="00265DD4">
      <w:pPr>
        <w:spacing w:after="60"/>
        <w:ind w:right="57"/>
        <w:rPr>
          <w:rFonts w:cs="Arial"/>
          <w:szCs w:val="24"/>
        </w:rPr>
      </w:pPr>
      <w:r w:rsidRPr="00913D81">
        <w:rPr>
          <w:rFonts w:cs="Arial"/>
          <w:szCs w:val="24"/>
        </w:rPr>
        <w:t xml:space="preserve">C’est pourquoi, il est proposé la création d’un Conseil National de l’Intégration (CNI), placé sous l’autorité du Premier Ministre, avec comme membres, les Ministres concernés au premier chef par les politiques d’intégration, un Conseiller du Président de la République, des représentant de l’Assemblée nationale, un représentant du Conseil Economique, Social et Environnemental, des représentants du patronat, de la société civile, entre autres, et dont le secrétariat permanent est assuré par le Ministère chargé de l’Economie. </w:t>
      </w:r>
    </w:p>
    <w:p w14:paraId="2448259D" w14:textId="77777777" w:rsidR="00265DD4" w:rsidRPr="00913D81" w:rsidRDefault="00265DD4" w:rsidP="00265DD4">
      <w:pPr>
        <w:spacing w:after="60"/>
        <w:ind w:right="57"/>
        <w:rPr>
          <w:rFonts w:cs="Arial"/>
          <w:szCs w:val="24"/>
        </w:rPr>
      </w:pPr>
      <w:r w:rsidRPr="00913D81">
        <w:rPr>
          <w:rFonts w:cs="Arial"/>
          <w:szCs w:val="24"/>
        </w:rPr>
        <w:t xml:space="preserve">Ledit Conseil sera créé par Décret. Il sera notamment chargé de : </w:t>
      </w:r>
    </w:p>
    <w:p w14:paraId="7ED7B373" w14:textId="77777777" w:rsidR="00265DD4" w:rsidRPr="00913D81" w:rsidRDefault="00265DD4" w:rsidP="00265DD4">
      <w:pPr>
        <w:pStyle w:val="Pardeliste"/>
        <w:widowControl w:val="0"/>
        <w:numPr>
          <w:ilvl w:val="0"/>
          <w:numId w:val="30"/>
        </w:numPr>
        <w:autoSpaceDE w:val="0"/>
        <w:autoSpaceDN w:val="0"/>
        <w:spacing w:after="60"/>
        <w:ind w:right="57"/>
        <w:contextualSpacing w:val="0"/>
        <w:rPr>
          <w:rFonts w:cs="Arial"/>
          <w:szCs w:val="24"/>
        </w:rPr>
      </w:pPr>
      <w:r w:rsidRPr="00913D81">
        <w:rPr>
          <w:rFonts w:cs="Arial"/>
          <w:szCs w:val="24"/>
        </w:rPr>
        <w:t>définir les orientations stratégiques et les objectifs en matière d’intégration ;</w:t>
      </w:r>
    </w:p>
    <w:p w14:paraId="340C448E" w14:textId="77777777" w:rsidR="00265DD4" w:rsidRPr="00913D81" w:rsidRDefault="00265DD4" w:rsidP="00265DD4">
      <w:pPr>
        <w:pStyle w:val="Pardeliste"/>
        <w:widowControl w:val="0"/>
        <w:numPr>
          <w:ilvl w:val="0"/>
          <w:numId w:val="30"/>
        </w:numPr>
        <w:autoSpaceDE w:val="0"/>
        <w:autoSpaceDN w:val="0"/>
        <w:spacing w:after="60"/>
        <w:ind w:right="57"/>
        <w:contextualSpacing w:val="0"/>
        <w:rPr>
          <w:rFonts w:cs="Arial"/>
          <w:szCs w:val="24"/>
        </w:rPr>
      </w:pPr>
      <w:r w:rsidRPr="00913D81">
        <w:rPr>
          <w:rFonts w:cs="Arial"/>
          <w:szCs w:val="24"/>
        </w:rPr>
        <w:t xml:space="preserve">superviser la mise en œuvre de la stratégie nationale d’intégration ; </w:t>
      </w:r>
    </w:p>
    <w:p w14:paraId="55AEC623" w14:textId="77777777" w:rsidR="00265DD4" w:rsidRPr="00913D81" w:rsidRDefault="00265DD4" w:rsidP="00265DD4">
      <w:pPr>
        <w:pStyle w:val="Pardeliste"/>
        <w:widowControl w:val="0"/>
        <w:numPr>
          <w:ilvl w:val="0"/>
          <w:numId w:val="30"/>
        </w:numPr>
        <w:autoSpaceDE w:val="0"/>
        <w:autoSpaceDN w:val="0"/>
        <w:spacing w:after="60"/>
        <w:ind w:right="57"/>
        <w:contextualSpacing w:val="0"/>
        <w:rPr>
          <w:rFonts w:cs="Arial"/>
          <w:szCs w:val="24"/>
        </w:rPr>
      </w:pPr>
      <w:r w:rsidRPr="00913D81">
        <w:rPr>
          <w:rFonts w:cs="Arial"/>
          <w:szCs w:val="24"/>
        </w:rPr>
        <w:t xml:space="preserve">harmoniser les positions des différentes parties prenantes nationales du processus d’intégration régionale ; </w:t>
      </w:r>
    </w:p>
    <w:p w14:paraId="2CF422A7" w14:textId="77777777" w:rsidR="00265DD4" w:rsidRPr="00913D81" w:rsidRDefault="00265DD4" w:rsidP="00265DD4">
      <w:pPr>
        <w:pStyle w:val="Pardeliste"/>
        <w:widowControl w:val="0"/>
        <w:numPr>
          <w:ilvl w:val="0"/>
          <w:numId w:val="30"/>
        </w:numPr>
        <w:autoSpaceDE w:val="0"/>
        <w:autoSpaceDN w:val="0"/>
        <w:spacing w:after="60"/>
        <w:ind w:right="57"/>
        <w:contextualSpacing w:val="0"/>
        <w:rPr>
          <w:rFonts w:cs="Arial"/>
          <w:szCs w:val="24"/>
        </w:rPr>
      </w:pPr>
      <w:r w:rsidRPr="00913D81">
        <w:rPr>
          <w:rFonts w:cs="Arial"/>
          <w:szCs w:val="24"/>
        </w:rPr>
        <w:t>assurer le suivi et l’évaluation de la mise en œuvre de la stratégie nationale d’intégration régionale ;</w:t>
      </w:r>
    </w:p>
    <w:p w14:paraId="2CE236C3" w14:textId="77777777" w:rsidR="00265DD4" w:rsidRPr="00913D81" w:rsidRDefault="00265DD4" w:rsidP="00265DD4">
      <w:pPr>
        <w:pStyle w:val="Pardeliste"/>
        <w:widowControl w:val="0"/>
        <w:numPr>
          <w:ilvl w:val="0"/>
          <w:numId w:val="30"/>
        </w:numPr>
        <w:autoSpaceDE w:val="0"/>
        <w:autoSpaceDN w:val="0"/>
        <w:spacing w:after="60"/>
        <w:ind w:right="57"/>
        <w:contextualSpacing w:val="0"/>
        <w:rPr>
          <w:rFonts w:cs="Arial"/>
          <w:szCs w:val="24"/>
        </w:rPr>
      </w:pPr>
      <w:r w:rsidRPr="00913D81">
        <w:rPr>
          <w:rFonts w:cs="Arial"/>
          <w:szCs w:val="24"/>
        </w:rPr>
        <w:t xml:space="preserve">valider les rapports d’évaluation ; </w:t>
      </w:r>
    </w:p>
    <w:p w14:paraId="6C4A2E22" w14:textId="208C4614" w:rsidR="008018B7" w:rsidRPr="00AA7159" w:rsidRDefault="00265DD4" w:rsidP="00265DD4">
      <w:pPr>
        <w:pStyle w:val="Pardeliste"/>
        <w:widowControl w:val="0"/>
        <w:numPr>
          <w:ilvl w:val="0"/>
          <w:numId w:val="30"/>
        </w:numPr>
        <w:autoSpaceDE w:val="0"/>
        <w:autoSpaceDN w:val="0"/>
        <w:snapToGrid w:val="0"/>
        <w:ind w:right="57"/>
        <w:contextualSpacing w:val="0"/>
        <w:rPr>
          <w:rFonts w:cs="Arial"/>
          <w:szCs w:val="24"/>
        </w:rPr>
      </w:pPr>
      <w:r w:rsidRPr="00913D81">
        <w:rPr>
          <w:rFonts w:cs="Arial"/>
          <w:szCs w:val="24"/>
        </w:rPr>
        <w:t>élaborer un rapport annuel de l’intégration régionale destin</w:t>
      </w:r>
      <w:r>
        <w:rPr>
          <w:rFonts w:cs="Arial"/>
          <w:szCs w:val="24"/>
        </w:rPr>
        <w:t>é au Président de la République</w:t>
      </w:r>
      <w:r w:rsidR="008018B7" w:rsidRPr="00AA7159">
        <w:rPr>
          <w:rFonts w:cs="Arial"/>
          <w:szCs w:val="24"/>
        </w:rPr>
        <w:t>.</w:t>
      </w:r>
    </w:p>
    <w:p w14:paraId="74D8D12C" w14:textId="35601646" w:rsidR="008018B7" w:rsidRPr="00AA7159" w:rsidRDefault="003B7889" w:rsidP="003B7889">
      <w:pPr>
        <w:pStyle w:val="Titre5"/>
      </w:pPr>
      <w:bookmarkStart w:id="98" w:name="_Toc134287617"/>
      <w:bookmarkStart w:id="99" w:name="_Toc135140197"/>
      <w:r w:rsidRPr="003B7889">
        <w:t>VI.1.2.</w:t>
      </w:r>
      <w:r>
        <w:t>2.</w:t>
      </w:r>
      <w:r w:rsidRPr="003B7889">
        <w:t xml:space="preserve"> </w:t>
      </w:r>
      <w:r w:rsidR="008018B7" w:rsidRPr="00AA7159">
        <w:t>Comité Technique de Suivi (CTS)</w:t>
      </w:r>
      <w:bookmarkEnd w:id="98"/>
      <w:bookmarkEnd w:id="99"/>
    </w:p>
    <w:p w14:paraId="3BB1419F" w14:textId="77777777" w:rsidR="00265DD4" w:rsidRPr="00913D81" w:rsidRDefault="00265DD4" w:rsidP="00265DD4">
      <w:pPr>
        <w:spacing w:after="60"/>
        <w:ind w:right="57"/>
        <w:rPr>
          <w:rFonts w:cs="Arial"/>
          <w:szCs w:val="24"/>
        </w:rPr>
      </w:pPr>
      <w:r w:rsidRPr="00913D81">
        <w:rPr>
          <w:rFonts w:cs="Arial"/>
          <w:szCs w:val="24"/>
        </w:rPr>
        <w:t xml:space="preserve">En vue de rendre opérationnelles les orientations du Conseil National sur l’Intégration, il est nécessaire de confier à une structure dédiée, la mission de coordination technique et de suivi permanent. </w:t>
      </w:r>
    </w:p>
    <w:p w14:paraId="1A2F34B9" w14:textId="77777777" w:rsidR="00265DD4" w:rsidRPr="00913D81" w:rsidRDefault="00265DD4" w:rsidP="00265DD4">
      <w:pPr>
        <w:spacing w:after="60"/>
        <w:ind w:right="57"/>
        <w:rPr>
          <w:rFonts w:cs="Arial"/>
          <w:szCs w:val="24"/>
        </w:rPr>
      </w:pPr>
      <w:r w:rsidRPr="00913D81">
        <w:rPr>
          <w:rFonts w:cs="Arial"/>
          <w:szCs w:val="24"/>
        </w:rPr>
        <w:t>A cet effet, le Ministère en charge de l’Economie, du Plan et de la Coopération assume ce rôle.</w:t>
      </w:r>
    </w:p>
    <w:p w14:paraId="20066D62" w14:textId="77777777" w:rsidR="00265DD4" w:rsidRPr="00913D81" w:rsidRDefault="00265DD4" w:rsidP="00265DD4">
      <w:pPr>
        <w:spacing w:after="60"/>
        <w:ind w:right="57"/>
        <w:rPr>
          <w:rFonts w:cs="Arial"/>
          <w:szCs w:val="24"/>
        </w:rPr>
      </w:pPr>
      <w:r w:rsidRPr="00913D81">
        <w:rPr>
          <w:rFonts w:cs="Arial"/>
          <w:szCs w:val="24"/>
        </w:rPr>
        <w:t>En vue de garantir l’efficacité de cette mission de coordination technique des réformes, programmes et projets d’intégration, il conviendrait de donner un poids plus important à la fonction de suivi de l’intégration. A cet effet, il sera créé au sein de la Direction Générale de la Planification et des Politiques Economiques, une Direction chargée de la Coordination et du Suivi de l’Intégration en lieu et place de l’actuelle Cellule de Suivi de l’Intégration.</w:t>
      </w:r>
    </w:p>
    <w:p w14:paraId="319F09B7" w14:textId="77777777" w:rsidR="00265DD4" w:rsidRPr="00913D81" w:rsidRDefault="00265DD4" w:rsidP="00265DD4">
      <w:pPr>
        <w:spacing w:after="60"/>
        <w:ind w:right="57"/>
        <w:rPr>
          <w:rFonts w:cs="Arial"/>
          <w:szCs w:val="24"/>
        </w:rPr>
      </w:pPr>
      <w:r w:rsidRPr="00913D81">
        <w:rPr>
          <w:rFonts w:cs="Arial"/>
          <w:szCs w:val="24"/>
        </w:rPr>
        <w:t xml:space="preserve">Le Comité Technique de Suivi est créé par Arrêté interministériel pour regrouper les Directions ou services chargés des questions d’intégration des ministères clés (ministère en charge de l’économie, ministère en charge des Finances, ministère en charge des affaires étrangères, ministère en charge du commerce, ministères en charge des transports, ministère en charge de la sécurité). </w:t>
      </w:r>
    </w:p>
    <w:p w14:paraId="3D448567" w14:textId="77777777" w:rsidR="00265DD4" w:rsidRPr="00913D81" w:rsidRDefault="00265DD4" w:rsidP="00265DD4">
      <w:pPr>
        <w:spacing w:after="60"/>
        <w:ind w:right="57"/>
        <w:rPr>
          <w:rFonts w:cs="Arial"/>
          <w:szCs w:val="24"/>
        </w:rPr>
      </w:pPr>
      <w:r w:rsidRPr="00913D81">
        <w:rPr>
          <w:rFonts w:cs="Arial"/>
          <w:szCs w:val="24"/>
        </w:rPr>
        <w:t xml:space="preserve">Ce Comité, présidé par le Directeur de la Coordination et du Suivi de l’Intégration pourra être élargi, à d’autres ministères, au secteur privé, à la société civile, en cas de besoin et en fonction des dossiers à examiner. Le CTS aura pour missions de : </w:t>
      </w:r>
    </w:p>
    <w:p w14:paraId="08BE84AE" w14:textId="77777777" w:rsidR="00265DD4" w:rsidRPr="00913D81" w:rsidRDefault="00265DD4" w:rsidP="00265DD4">
      <w:pPr>
        <w:pStyle w:val="Pardeliste"/>
        <w:widowControl w:val="0"/>
        <w:numPr>
          <w:ilvl w:val="0"/>
          <w:numId w:val="26"/>
        </w:numPr>
        <w:autoSpaceDE w:val="0"/>
        <w:autoSpaceDN w:val="0"/>
        <w:spacing w:after="60"/>
        <w:ind w:right="57"/>
        <w:contextualSpacing w:val="0"/>
        <w:rPr>
          <w:rFonts w:cs="Arial"/>
          <w:szCs w:val="24"/>
        </w:rPr>
      </w:pPr>
      <w:r w:rsidRPr="00913D81">
        <w:rPr>
          <w:rFonts w:cs="Arial"/>
          <w:szCs w:val="24"/>
        </w:rPr>
        <w:t xml:space="preserve">préparer la participation du Sénégal aux différentes rencontres des organisations d’intégration ; </w:t>
      </w:r>
    </w:p>
    <w:p w14:paraId="0FF4CCE6" w14:textId="77777777" w:rsidR="00265DD4" w:rsidRPr="00913D81" w:rsidRDefault="00265DD4" w:rsidP="00265DD4">
      <w:pPr>
        <w:pStyle w:val="Pardeliste"/>
        <w:widowControl w:val="0"/>
        <w:numPr>
          <w:ilvl w:val="0"/>
          <w:numId w:val="26"/>
        </w:numPr>
        <w:autoSpaceDE w:val="0"/>
        <w:autoSpaceDN w:val="0"/>
        <w:spacing w:after="60"/>
        <w:ind w:right="57"/>
        <w:contextualSpacing w:val="0"/>
        <w:rPr>
          <w:rFonts w:cs="Arial"/>
          <w:szCs w:val="24"/>
        </w:rPr>
      </w:pPr>
      <w:r w:rsidRPr="00913D81">
        <w:rPr>
          <w:rFonts w:cs="Arial"/>
          <w:szCs w:val="24"/>
        </w:rPr>
        <w:t xml:space="preserve">valider les avant-projets de textes et de rapports destinés aux Ministres statutaires des organes délibérants des organisations d’intégration ; </w:t>
      </w:r>
    </w:p>
    <w:p w14:paraId="3D65442F" w14:textId="77777777" w:rsidR="00265DD4" w:rsidRPr="00913D81" w:rsidRDefault="00265DD4" w:rsidP="00265DD4">
      <w:pPr>
        <w:pStyle w:val="Pardeliste"/>
        <w:widowControl w:val="0"/>
        <w:numPr>
          <w:ilvl w:val="0"/>
          <w:numId w:val="26"/>
        </w:numPr>
        <w:autoSpaceDE w:val="0"/>
        <w:autoSpaceDN w:val="0"/>
        <w:spacing w:after="60"/>
        <w:ind w:right="57"/>
        <w:contextualSpacing w:val="0"/>
        <w:rPr>
          <w:rFonts w:cs="Arial"/>
          <w:szCs w:val="24"/>
        </w:rPr>
      </w:pPr>
      <w:r w:rsidRPr="00913D81">
        <w:rPr>
          <w:rFonts w:cs="Arial"/>
          <w:szCs w:val="24"/>
        </w:rPr>
        <w:t xml:space="preserve">suivre l’évolution des dossiers et des missions portant sur l’intégration régionale ; </w:t>
      </w:r>
    </w:p>
    <w:p w14:paraId="70F5947D" w14:textId="77777777" w:rsidR="00265DD4" w:rsidRPr="00913D81" w:rsidRDefault="00265DD4" w:rsidP="00265DD4">
      <w:pPr>
        <w:pStyle w:val="Pardeliste"/>
        <w:widowControl w:val="0"/>
        <w:numPr>
          <w:ilvl w:val="0"/>
          <w:numId w:val="26"/>
        </w:numPr>
        <w:autoSpaceDE w:val="0"/>
        <w:autoSpaceDN w:val="0"/>
        <w:spacing w:after="60"/>
        <w:ind w:right="57"/>
        <w:contextualSpacing w:val="0"/>
        <w:rPr>
          <w:rFonts w:cs="Arial"/>
          <w:szCs w:val="24"/>
        </w:rPr>
      </w:pPr>
      <w:r w:rsidRPr="00913D81">
        <w:rPr>
          <w:rFonts w:cs="Arial"/>
          <w:szCs w:val="24"/>
        </w:rPr>
        <w:lastRenderedPageBreak/>
        <w:t xml:space="preserve">veiller à la mise en œuvre, par l’ensemble des départements ministériels, des engagements souscrits par le Gouvernement dans le cadre de l’intégration régionale ; </w:t>
      </w:r>
    </w:p>
    <w:p w14:paraId="184E8250" w14:textId="77777777" w:rsidR="00265DD4" w:rsidRPr="00913D81" w:rsidRDefault="00265DD4" w:rsidP="00265DD4">
      <w:pPr>
        <w:pStyle w:val="Pardeliste"/>
        <w:widowControl w:val="0"/>
        <w:numPr>
          <w:ilvl w:val="0"/>
          <w:numId w:val="26"/>
        </w:numPr>
        <w:autoSpaceDE w:val="0"/>
        <w:autoSpaceDN w:val="0"/>
        <w:spacing w:after="60"/>
        <w:ind w:right="57"/>
        <w:contextualSpacing w:val="0"/>
        <w:rPr>
          <w:rFonts w:cs="Arial"/>
          <w:szCs w:val="24"/>
        </w:rPr>
      </w:pPr>
      <w:r w:rsidRPr="00913D81">
        <w:rPr>
          <w:rFonts w:cs="Arial"/>
          <w:szCs w:val="24"/>
        </w:rPr>
        <w:t xml:space="preserve">assurer, en liaison avec le Secrétariat général du Gouvernement, le suivi interministériel de la transposition des directives. </w:t>
      </w:r>
    </w:p>
    <w:p w14:paraId="780A770A" w14:textId="5277A55A" w:rsidR="008018B7" w:rsidRPr="00AA7159" w:rsidRDefault="00265DD4" w:rsidP="00265DD4">
      <w:pPr>
        <w:spacing w:after="60"/>
        <w:ind w:right="57"/>
        <w:rPr>
          <w:rFonts w:cs="Arial"/>
          <w:szCs w:val="24"/>
        </w:rPr>
      </w:pPr>
      <w:r w:rsidRPr="00913D81">
        <w:rPr>
          <w:rFonts w:cs="Arial"/>
          <w:szCs w:val="24"/>
        </w:rPr>
        <w:t>L’organisation des relations fonctionnelles et techniques de la Direction chargée de la Coordination et du Suivi avec les points focaux sera déterminée par un nouveau décret portant organisation du Min</w:t>
      </w:r>
      <w:r>
        <w:rPr>
          <w:rFonts w:cs="Arial"/>
          <w:szCs w:val="24"/>
        </w:rPr>
        <w:t>istère en charge de l’économie</w:t>
      </w:r>
      <w:r w:rsidR="008018B7" w:rsidRPr="00AA7159">
        <w:rPr>
          <w:rFonts w:cs="Arial"/>
          <w:szCs w:val="24"/>
        </w:rPr>
        <w:t>.</w:t>
      </w:r>
    </w:p>
    <w:p w14:paraId="4485B477" w14:textId="0DDD6B82" w:rsidR="008018B7" w:rsidRPr="00AA7159" w:rsidRDefault="003B7889" w:rsidP="003B7889">
      <w:pPr>
        <w:pStyle w:val="Titre5"/>
      </w:pPr>
      <w:bookmarkStart w:id="100" w:name="_Toc134287618"/>
      <w:bookmarkStart w:id="101" w:name="_Toc135140198"/>
      <w:r w:rsidRPr="003B7889">
        <w:t>VI.1.2.</w:t>
      </w:r>
      <w:r>
        <w:t>3.</w:t>
      </w:r>
      <w:r w:rsidRPr="003B7889">
        <w:t xml:space="preserve"> </w:t>
      </w:r>
      <w:r w:rsidR="008018B7" w:rsidRPr="00AA7159">
        <w:t>Les Comités techniques nationaux</w:t>
      </w:r>
      <w:bookmarkEnd w:id="100"/>
      <w:bookmarkEnd w:id="101"/>
      <w:r w:rsidR="008018B7" w:rsidRPr="00AA7159">
        <w:t xml:space="preserve"> </w:t>
      </w:r>
    </w:p>
    <w:p w14:paraId="79455836" w14:textId="77777777" w:rsidR="00265DD4" w:rsidRPr="00913D81" w:rsidRDefault="00265DD4" w:rsidP="00265DD4">
      <w:pPr>
        <w:spacing w:after="60"/>
        <w:ind w:right="57"/>
        <w:rPr>
          <w:rFonts w:cs="Arial"/>
          <w:szCs w:val="24"/>
        </w:rPr>
      </w:pPr>
      <w:r w:rsidRPr="00913D81">
        <w:rPr>
          <w:rFonts w:cs="Arial"/>
          <w:szCs w:val="24"/>
        </w:rPr>
        <w:t>Le CTS est assisté dans l’accomplissement de ses missions par les comités techniques nationaux suivants : le Comité national de politique économique (CNPE/CNC), le Comité national de gestion du TEC CEDEAO (CNGTEC), le Comité national de Suivi de la transition fiscale (CNTF), le Comité national de Facilitation des échanges (CNFE) ; le Comité national ZLECAf (CNZLECAf), le Comité national de Suivi des programmes et projets communautaires. Des Comités nationaux additionnels pourraient être créés au besoin.</w:t>
      </w:r>
    </w:p>
    <w:p w14:paraId="74560F98" w14:textId="77777777" w:rsidR="00265DD4" w:rsidRPr="00913D81" w:rsidRDefault="00265DD4" w:rsidP="00265DD4">
      <w:pPr>
        <w:spacing w:after="60"/>
        <w:ind w:right="57"/>
        <w:rPr>
          <w:rFonts w:cs="Arial"/>
          <w:szCs w:val="24"/>
        </w:rPr>
      </w:pPr>
      <w:r w:rsidRPr="00913D81">
        <w:rPr>
          <w:rFonts w:cs="Arial"/>
          <w:szCs w:val="24"/>
        </w:rPr>
        <w:t>Les Comités nationaux sont chargés du suivi de la mise en œuvre des activités afférentes à leurs missions. A cet effet, ils rendent compte au Comité Technique de Suivi à travers des rapports périodiques.</w:t>
      </w:r>
    </w:p>
    <w:p w14:paraId="24A11D5A" w14:textId="77777777" w:rsidR="00265DD4" w:rsidRPr="00913D81" w:rsidRDefault="00265DD4" w:rsidP="00265DD4">
      <w:pPr>
        <w:spacing w:after="60"/>
        <w:ind w:right="57"/>
        <w:rPr>
          <w:rFonts w:cs="Arial"/>
          <w:szCs w:val="24"/>
        </w:rPr>
      </w:pPr>
      <w:r w:rsidRPr="00913D81">
        <w:rPr>
          <w:rFonts w:cs="Arial"/>
          <w:szCs w:val="24"/>
        </w:rPr>
        <w:t>Le secrétariat technique de ces Comités est assuré par la DSCI. Les Comités nationaux se réunissent une fois par trimestre et en cas de besoin. La DSCI qui assure le secrétariat technique du dispositif, est chargée :</w:t>
      </w:r>
    </w:p>
    <w:p w14:paraId="53EFC529" w14:textId="77777777" w:rsidR="00265DD4" w:rsidRPr="00913D81" w:rsidRDefault="00265DD4" w:rsidP="00265DD4">
      <w:pPr>
        <w:pStyle w:val="Pardeliste"/>
        <w:numPr>
          <w:ilvl w:val="0"/>
          <w:numId w:val="30"/>
        </w:numPr>
        <w:spacing w:after="60"/>
        <w:ind w:right="57"/>
        <w:contextualSpacing w:val="0"/>
        <w:rPr>
          <w:rFonts w:cs="Arial"/>
          <w:szCs w:val="24"/>
        </w:rPr>
      </w:pPr>
      <w:r w:rsidRPr="00913D81">
        <w:rPr>
          <w:rFonts w:cs="Arial"/>
          <w:szCs w:val="24"/>
        </w:rPr>
        <w:t>de la préparation des réunions du Conseil national de l’intégration et de celles des différents comités ;</w:t>
      </w:r>
    </w:p>
    <w:p w14:paraId="306B89F7" w14:textId="77777777" w:rsidR="00265DD4" w:rsidRPr="00913D81" w:rsidRDefault="00265DD4" w:rsidP="00265DD4">
      <w:pPr>
        <w:pStyle w:val="Pardeliste"/>
        <w:numPr>
          <w:ilvl w:val="0"/>
          <w:numId w:val="30"/>
        </w:numPr>
        <w:spacing w:after="60"/>
        <w:ind w:right="57"/>
        <w:contextualSpacing w:val="0"/>
        <w:rPr>
          <w:rFonts w:cs="Arial"/>
          <w:szCs w:val="24"/>
        </w:rPr>
      </w:pPr>
      <w:r w:rsidRPr="00913D81">
        <w:rPr>
          <w:rFonts w:cs="Arial"/>
          <w:szCs w:val="24"/>
        </w:rPr>
        <w:t>de l’élaboration des comptes rendus des réunions du Conseil national de l’intégration et des différents comités techniques ;</w:t>
      </w:r>
    </w:p>
    <w:p w14:paraId="28989AEE" w14:textId="77777777" w:rsidR="00265DD4" w:rsidRPr="00913D81" w:rsidRDefault="00265DD4" w:rsidP="00265DD4">
      <w:pPr>
        <w:pStyle w:val="Pardeliste"/>
        <w:numPr>
          <w:ilvl w:val="0"/>
          <w:numId w:val="30"/>
        </w:numPr>
        <w:spacing w:after="60"/>
        <w:ind w:right="57"/>
        <w:contextualSpacing w:val="0"/>
        <w:rPr>
          <w:rFonts w:cs="Arial"/>
          <w:szCs w:val="24"/>
        </w:rPr>
      </w:pPr>
      <w:r w:rsidRPr="00913D81">
        <w:rPr>
          <w:rFonts w:cs="Arial"/>
          <w:szCs w:val="24"/>
        </w:rPr>
        <w:t>du suivi de la mise en œuvre des recommandations adoptées par le Conseil national de l’intégration ;</w:t>
      </w:r>
    </w:p>
    <w:p w14:paraId="017C59E8" w14:textId="77777777" w:rsidR="00265DD4" w:rsidRPr="00913D81" w:rsidRDefault="00265DD4" w:rsidP="00265DD4">
      <w:pPr>
        <w:pStyle w:val="Pardeliste"/>
        <w:numPr>
          <w:ilvl w:val="0"/>
          <w:numId w:val="30"/>
        </w:numPr>
        <w:spacing w:after="60"/>
        <w:ind w:right="57"/>
        <w:contextualSpacing w:val="0"/>
        <w:rPr>
          <w:rFonts w:cs="Arial"/>
          <w:szCs w:val="24"/>
        </w:rPr>
      </w:pPr>
      <w:r w:rsidRPr="00913D81">
        <w:rPr>
          <w:rFonts w:cs="Arial"/>
          <w:szCs w:val="24"/>
        </w:rPr>
        <w:t>de la collecte et de l’analyse des données ;</w:t>
      </w:r>
    </w:p>
    <w:p w14:paraId="1A91CAA9" w14:textId="77777777" w:rsidR="00265DD4" w:rsidRPr="00913D81" w:rsidRDefault="00265DD4" w:rsidP="00265DD4">
      <w:pPr>
        <w:pStyle w:val="Pardeliste"/>
        <w:numPr>
          <w:ilvl w:val="0"/>
          <w:numId w:val="30"/>
        </w:numPr>
        <w:spacing w:after="60"/>
        <w:ind w:right="57"/>
        <w:contextualSpacing w:val="0"/>
        <w:rPr>
          <w:rFonts w:cs="Arial"/>
          <w:szCs w:val="24"/>
        </w:rPr>
      </w:pPr>
      <w:r w:rsidRPr="00913D81">
        <w:rPr>
          <w:rFonts w:cs="Arial"/>
          <w:szCs w:val="24"/>
        </w:rPr>
        <w:t>de l’élaboration des rapports périodiques sur l’état d’avancement de la mise en œuvre de la stratégie ;</w:t>
      </w:r>
    </w:p>
    <w:p w14:paraId="20CA865B" w14:textId="4469E4AC" w:rsidR="008018B7" w:rsidRPr="00265DD4" w:rsidRDefault="00265DD4" w:rsidP="00265DD4">
      <w:pPr>
        <w:pStyle w:val="Pardeliste"/>
        <w:numPr>
          <w:ilvl w:val="0"/>
          <w:numId w:val="30"/>
        </w:numPr>
        <w:spacing w:after="60"/>
        <w:ind w:right="57"/>
        <w:contextualSpacing w:val="0"/>
        <w:rPr>
          <w:rFonts w:cs="Arial"/>
          <w:szCs w:val="24"/>
        </w:rPr>
      </w:pPr>
      <w:r w:rsidRPr="00913D81">
        <w:rPr>
          <w:rFonts w:cs="Arial"/>
          <w:szCs w:val="24"/>
        </w:rPr>
        <w:t xml:space="preserve">du suivi des performances réalisées dans la </w:t>
      </w:r>
      <w:r>
        <w:rPr>
          <w:rFonts w:cs="Arial"/>
          <w:szCs w:val="24"/>
        </w:rPr>
        <w:t>mise en œuvre du plan d’actions</w:t>
      </w:r>
      <w:r w:rsidR="008018B7" w:rsidRPr="00265DD4">
        <w:rPr>
          <w:rFonts w:cs="Arial"/>
          <w:szCs w:val="24"/>
        </w:rPr>
        <w:t>.</w:t>
      </w:r>
    </w:p>
    <w:p w14:paraId="14911A0B" w14:textId="54779377" w:rsidR="008018B7" w:rsidRPr="00AA7159" w:rsidRDefault="00AF5E42" w:rsidP="00AF5E42">
      <w:pPr>
        <w:pStyle w:val="Titre3"/>
      </w:pPr>
      <w:bookmarkStart w:id="102" w:name="_Toc134287619"/>
      <w:bookmarkStart w:id="103" w:name="_Toc135140199"/>
      <w:r>
        <w:t xml:space="preserve">VI.2. </w:t>
      </w:r>
      <w:r w:rsidR="008018B7" w:rsidRPr="00AA7159">
        <w:t>Suivi et évaluation</w:t>
      </w:r>
      <w:bookmarkEnd w:id="102"/>
      <w:bookmarkEnd w:id="103"/>
    </w:p>
    <w:p w14:paraId="0CC16760" w14:textId="77777777" w:rsidR="00265DD4" w:rsidRPr="00913D81" w:rsidRDefault="00265DD4" w:rsidP="00265DD4">
      <w:pPr>
        <w:spacing w:after="60"/>
        <w:ind w:right="57"/>
        <w:rPr>
          <w:rFonts w:cs="Arial"/>
          <w:szCs w:val="24"/>
        </w:rPr>
      </w:pPr>
      <w:r w:rsidRPr="00913D81">
        <w:rPr>
          <w:rFonts w:cs="Arial"/>
          <w:szCs w:val="24"/>
        </w:rPr>
        <w:t>Le suivi de la mise en œuvre de la stratégie nationale d’intégration se fait à travers un système de « reporting » de données relatives aux indicateurs définis dans le cadre de mesure de la performance du plan d’actions.</w:t>
      </w:r>
    </w:p>
    <w:p w14:paraId="72A79341" w14:textId="77777777" w:rsidR="00265DD4" w:rsidRPr="00913D81" w:rsidRDefault="00265DD4" w:rsidP="00265DD4">
      <w:pPr>
        <w:spacing w:after="60"/>
        <w:ind w:right="57"/>
        <w:rPr>
          <w:rFonts w:cs="Arial"/>
          <w:szCs w:val="24"/>
        </w:rPr>
      </w:pPr>
      <w:r w:rsidRPr="00913D81">
        <w:rPr>
          <w:rFonts w:cs="Arial"/>
          <w:szCs w:val="24"/>
        </w:rPr>
        <w:t>La DSCI assure le suivi de la mise en œuvre des activités prévues dans le plan d’actions de la stratégie nationale d’intégration. Le suivi consiste à mettre en place un dispositif pour recueillir les données relatives aux indicateurs ; élaborer et préparer des rapports périodiques sur l’état de mise en œuvre du plan d’actions de la stratégie. La DSCI pourrait s’attacher les services d’un prestataire pour le recueil des informations auprès des ministériels sectoriels et organismes nationaux.</w:t>
      </w:r>
    </w:p>
    <w:p w14:paraId="21C92C76" w14:textId="77777777" w:rsidR="00265DD4" w:rsidRPr="00913D81" w:rsidRDefault="00265DD4" w:rsidP="00265DD4">
      <w:pPr>
        <w:spacing w:after="60"/>
        <w:ind w:right="57"/>
        <w:rPr>
          <w:rFonts w:cs="Arial"/>
          <w:szCs w:val="24"/>
        </w:rPr>
      </w:pPr>
      <w:r w:rsidRPr="00913D81">
        <w:rPr>
          <w:rFonts w:cs="Arial"/>
          <w:szCs w:val="24"/>
        </w:rPr>
        <w:lastRenderedPageBreak/>
        <w:t>A cet effet, il est prévu deux rencontres annuelles consacrées d’une part, au suivi à mi- parcours en juin, et d’autre part, à l’évaluation de l’exécution du plan de travail annuel et à la programmation des activités de l’année suivante.</w:t>
      </w:r>
    </w:p>
    <w:p w14:paraId="3DBB6A7B" w14:textId="77777777" w:rsidR="00265DD4" w:rsidRPr="00913D81" w:rsidRDefault="00265DD4" w:rsidP="00265DD4">
      <w:pPr>
        <w:spacing w:after="60"/>
        <w:ind w:right="57"/>
        <w:rPr>
          <w:rFonts w:cs="Arial"/>
          <w:szCs w:val="24"/>
        </w:rPr>
      </w:pPr>
      <w:r w:rsidRPr="00913D81">
        <w:rPr>
          <w:rFonts w:cs="Arial"/>
          <w:szCs w:val="24"/>
        </w:rPr>
        <w:t xml:space="preserve">L’évaluation de la mise en œuvre de la stratégie est assurée par un organe externe à la DGPPE. Il est prévu une évaluation à mi-parcours en 2025 et une évaluation finale en 2027. </w:t>
      </w:r>
    </w:p>
    <w:p w14:paraId="6FB4C5FC" w14:textId="65A14351" w:rsidR="008018B7" w:rsidRPr="00AA7159" w:rsidRDefault="00265DD4" w:rsidP="00265DD4">
      <w:pPr>
        <w:spacing w:after="60"/>
        <w:ind w:right="57"/>
        <w:rPr>
          <w:rFonts w:cs="Arial"/>
          <w:szCs w:val="24"/>
        </w:rPr>
      </w:pPr>
      <w:r w:rsidRPr="00913D81">
        <w:rPr>
          <w:rFonts w:cs="Arial"/>
          <w:szCs w:val="24"/>
        </w:rPr>
        <w:t>L’évaluation à mi-parcours permettra d’apprécier le niveau de réalisations des actions par rapport au chronogramme établi dans le Plan d’actions, d’identifier les dysfonctionnements et de proposer des mesures correctives pour la prochaine phase. L’évaluation finale permettra d’apprécier la performance dans la mise en œuvre des actions de la stratégie nationale d’intégr</w:t>
      </w:r>
      <w:r>
        <w:rPr>
          <w:rFonts w:cs="Arial"/>
          <w:szCs w:val="24"/>
        </w:rPr>
        <w:t>ation sur la période 2023-2027</w:t>
      </w:r>
      <w:r w:rsidR="008018B7" w:rsidRPr="00AA7159">
        <w:rPr>
          <w:rFonts w:cs="Arial"/>
          <w:szCs w:val="24"/>
        </w:rPr>
        <w:t>.</w:t>
      </w:r>
    </w:p>
    <w:p w14:paraId="051C35F5" w14:textId="74F70165" w:rsidR="008018B7" w:rsidRPr="00AA7159" w:rsidRDefault="00184C0E" w:rsidP="00184C0E">
      <w:pPr>
        <w:pStyle w:val="Titre2"/>
        <w:rPr>
          <w:b/>
        </w:rPr>
      </w:pPr>
      <w:bookmarkStart w:id="104" w:name="_Toc134287620"/>
      <w:bookmarkStart w:id="105" w:name="_Toc135140200"/>
      <w:r>
        <w:t xml:space="preserve">VII. </w:t>
      </w:r>
      <w:r w:rsidR="008018B7" w:rsidRPr="00AA7159">
        <w:t>FINANCEMENT DE LA STRATEGIE NATIONALE D’INTEGRATION</w:t>
      </w:r>
      <w:bookmarkEnd w:id="104"/>
      <w:bookmarkEnd w:id="105"/>
    </w:p>
    <w:p w14:paraId="784BFB08" w14:textId="77777777" w:rsidR="00265DD4" w:rsidRPr="00265DD4" w:rsidRDefault="00265DD4" w:rsidP="00265DD4">
      <w:pPr>
        <w:tabs>
          <w:tab w:val="left" w:pos="950"/>
        </w:tabs>
        <w:spacing w:before="120" w:after="100" w:afterAutospacing="1"/>
        <w:ind w:right="57"/>
        <w:rPr>
          <w:rFonts w:cs="Arial"/>
          <w:szCs w:val="24"/>
        </w:rPr>
      </w:pPr>
      <w:r w:rsidRPr="00265DD4">
        <w:rPr>
          <w:rFonts w:cs="Arial"/>
          <w:szCs w:val="24"/>
        </w:rPr>
        <w:t>Le financement de la stratégie nationale d’intégration sera assuré essentiellement par le budget de l’Etat et par les appuis financiers reçus des organisations régionales et sous-régionales.</w:t>
      </w:r>
    </w:p>
    <w:p w14:paraId="15EA4ACF" w14:textId="77777777" w:rsidR="00265DD4" w:rsidRPr="00265DD4" w:rsidRDefault="00265DD4" w:rsidP="00265DD4">
      <w:pPr>
        <w:tabs>
          <w:tab w:val="left" w:pos="950"/>
        </w:tabs>
        <w:spacing w:before="120" w:after="100" w:afterAutospacing="1"/>
        <w:ind w:right="57"/>
        <w:rPr>
          <w:rFonts w:cs="Arial"/>
          <w:szCs w:val="24"/>
        </w:rPr>
      </w:pPr>
      <w:r w:rsidRPr="00265DD4">
        <w:rPr>
          <w:rFonts w:cs="Arial"/>
          <w:szCs w:val="24"/>
        </w:rPr>
        <w:t>De manière spécifique, les activités inscrites dans les programmes des ministères sectoriels seront financées par les budgets prévus à cet effet. Les activités de coordination seront financées par les ressources provenant des organisations régionales. A cet effet, un pourcentage des ristournes sur le Prélèvement Communautaire de Solidarité (PCS) de l’UEMOA et sur le Prélèvement Communautaire CEDEAO (PCC) devrait être affecté aux activités de coordination inscrites dans le plan d’actions de la stratégie.</w:t>
      </w:r>
    </w:p>
    <w:p w14:paraId="0654FACB" w14:textId="5844A610" w:rsidR="008018B7" w:rsidRPr="00AA7159" w:rsidRDefault="00265DD4" w:rsidP="00265DD4">
      <w:pPr>
        <w:tabs>
          <w:tab w:val="left" w:pos="950"/>
        </w:tabs>
        <w:spacing w:before="120" w:after="100" w:afterAutospacing="1"/>
        <w:ind w:right="57"/>
        <w:rPr>
          <w:rFonts w:cs="Arial"/>
          <w:b/>
          <w:bCs/>
          <w:szCs w:val="24"/>
        </w:rPr>
      </w:pPr>
      <w:r w:rsidRPr="00265DD4">
        <w:rPr>
          <w:rFonts w:cs="Arial"/>
          <w:szCs w:val="24"/>
        </w:rPr>
        <w:t>Un arrêté primatoral déterminera le taux, les montants et les modalités de mise en œuvre.</w:t>
      </w:r>
    </w:p>
    <w:p w14:paraId="05260036" w14:textId="77777777" w:rsidR="008018B7" w:rsidRPr="00AA7159" w:rsidRDefault="008018B7" w:rsidP="008018B7">
      <w:pPr>
        <w:tabs>
          <w:tab w:val="left" w:pos="950"/>
        </w:tabs>
        <w:spacing w:before="120" w:after="100" w:afterAutospacing="1"/>
        <w:ind w:right="57"/>
        <w:rPr>
          <w:rFonts w:cs="Arial"/>
          <w:b/>
          <w:bCs/>
          <w:szCs w:val="24"/>
        </w:rPr>
      </w:pPr>
    </w:p>
    <w:p w14:paraId="1DE2CF84" w14:textId="77777777" w:rsidR="008018B7" w:rsidRPr="00AA7159" w:rsidRDefault="008018B7" w:rsidP="008018B7">
      <w:pPr>
        <w:tabs>
          <w:tab w:val="left" w:pos="950"/>
        </w:tabs>
        <w:spacing w:before="120" w:after="100" w:afterAutospacing="1"/>
        <w:ind w:right="57"/>
        <w:rPr>
          <w:rFonts w:cs="Arial"/>
          <w:b/>
          <w:bCs/>
          <w:szCs w:val="24"/>
        </w:rPr>
      </w:pPr>
    </w:p>
    <w:p w14:paraId="213FC1C3" w14:textId="77777777" w:rsidR="008018B7" w:rsidRPr="00AA7159" w:rsidRDefault="008018B7" w:rsidP="008018B7">
      <w:pPr>
        <w:tabs>
          <w:tab w:val="left" w:pos="950"/>
        </w:tabs>
        <w:spacing w:before="120" w:after="100" w:afterAutospacing="1"/>
        <w:ind w:right="57"/>
        <w:rPr>
          <w:rFonts w:cs="Arial"/>
          <w:b/>
          <w:bCs/>
          <w:szCs w:val="24"/>
        </w:rPr>
      </w:pPr>
    </w:p>
    <w:p w14:paraId="25F92245" w14:textId="77777777" w:rsidR="008018B7" w:rsidRPr="00AA7159" w:rsidRDefault="008018B7" w:rsidP="008018B7">
      <w:pPr>
        <w:tabs>
          <w:tab w:val="left" w:pos="950"/>
        </w:tabs>
        <w:spacing w:before="120" w:after="100" w:afterAutospacing="1"/>
        <w:ind w:right="57"/>
        <w:rPr>
          <w:rFonts w:cs="Arial"/>
          <w:b/>
          <w:bCs/>
          <w:szCs w:val="24"/>
        </w:rPr>
      </w:pPr>
    </w:p>
    <w:p w14:paraId="61A46F08" w14:textId="77777777" w:rsidR="008018B7" w:rsidRPr="00AA7159" w:rsidRDefault="008018B7" w:rsidP="008018B7">
      <w:pPr>
        <w:tabs>
          <w:tab w:val="left" w:pos="950"/>
        </w:tabs>
        <w:spacing w:before="120" w:after="100" w:afterAutospacing="1"/>
        <w:ind w:right="57"/>
        <w:rPr>
          <w:rFonts w:cs="Arial"/>
          <w:b/>
          <w:bCs/>
          <w:szCs w:val="24"/>
        </w:rPr>
      </w:pPr>
    </w:p>
    <w:p w14:paraId="7C44680F" w14:textId="77777777" w:rsidR="008018B7" w:rsidRPr="00AA7159" w:rsidRDefault="008018B7" w:rsidP="008018B7">
      <w:pPr>
        <w:tabs>
          <w:tab w:val="left" w:pos="950"/>
        </w:tabs>
        <w:spacing w:before="120" w:after="100" w:afterAutospacing="1"/>
        <w:ind w:right="57"/>
        <w:rPr>
          <w:rFonts w:cs="Arial"/>
          <w:b/>
          <w:bCs/>
          <w:szCs w:val="24"/>
        </w:rPr>
      </w:pPr>
    </w:p>
    <w:p w14:paraId="675905B4" w14:textId="5CA39CDC" w:rsidR="00265DD4" w:rsidRDefault="00265DD4">
      <w:pPr>
        <w:spacing w:after="160" w:line="259" w:lineRule="auto"/>
        <w:jc w:val="left"/>
        <w:rPr>
          <w:rFonts w:cs="Arial"/>
          <w:b/>
          <w:bCs/>
          <w:szCs w:val="24"/>
        </w:rPr>
      </w:pPr>
      <w:r>
        <w:rPr>
          <w:rFonts w:cs="Arial"/>
          <w:b/>
          <w:bCs/>
          <w:szCs w:val="24"/>
        </w:rPr>
        <w:br w:type="page"/>
      </w:r>
    </w:p>
    <w:p w14:paraId="45A5BE8C" w14:textId="77777777" w:rsidR="0077672F" w:rsidRDefault="008018B7" w:rsidP="00184C0E">
      <w:pPr>
        <w:pStyle w:val="Titre2"/>
      </w:pPr>
      <w:bookmarkStart w:id="106" w:name="_Toc135140201"/>
      <w:bookmarkStart w:id="107" w:name="_Toc134287621"/>
      <w:r w:rsidRPr="00AA7159">
        <w:lastRenderedPageBreak/>
        <w:t>ANNEXE</w:t>
      </w:r>
      <w:r w:rsidR="0077672F">
        <w:t>S</w:t>
      </w:r>
      <w:bookmarkEnd w:id="106"/>
    </w:p>
    <w:p w14:paraId="33299A49" w14:textId="4F6854BA" w:rsidR="008018B7" w:rsidRPr="00AA7159" w:rsidRDefault="0077672F" w:rsidP="0077672F">
      <w:pPr>
        <w:pStyle w:val="Titre3"/>
      </w:pPr>
      <w:r w:rsidRPr="0077672F">
        <w:rPr>
          <w:u w:val="single"/>
        </w:rPr>
        <w:t> </w:t>
      </w:r>
      <w:bookmarkStart w:id="108" w:name="_Toc135140202"/>
      <w:r w:rsidRPr="0077672F">
        <w:rPr>
          <w:u w:val="single"/>
        </w:rPr>
        <w:t>ANNEXE 1</w:t>
      </w:r>
      <w:r>
        <w:t xml:space="preserve"> : </w:t>
      </w:r>
      <w:r w:rsidR="008018B7" w:rsidRPr="00AA7159">
        <w:t>Cadre stratégique</w:t>
      </w:r>
      <w:bookmarkEnd w:id="107"/>
      <w:bookmarkEnd w:id="108"/>
    </w:p>
    <w:p w14:paraId="3EE3D776" w14:textId="77777777" w:rsidR="008018B7" w:rsidRPr="00CF4AD7" w:rsidRDefault="008018B7" w:rsidP="002769FD">
      <w:pPr>
        <w:shd w:val="clear" w:color="auto" w:fill="833C0B" w:themeFill="accent2" w:themeFillShade="80"/>
        <w:spacing w:before="120" w:after="100" w:afterAutospacing="1"/>
        <w:ind w:right="57"/>
        <w:jc w:val="center"/>
        <w:rPr>
          <w:rFonts w:cs="Arial"/>
          <w:b/>
          <w:bCs/>
          <w:color w:val="FFFFFF" w:themeColor="background1"/>
          <w:sz w:val="28"/>
          <w:szCs w:val="28"/>
        </w:rPr>
      </w:pPr>
      <w:r w:rsidRPr="00CF4AD7">
        <w:rPr>
          <w:rFonts w:cs="Arial"/>
          <w:b/>
          <w:bCs/>
          <w:color w:val="FFFFFF" w:themeColor="background1"/>
          <w:sz w:val="28"/>
          <w:szCs w:val="28"/>
          <w:shd w:val="clear" w:color="auto" w:fill="833C0B" w:themeFill="accent2" w:themeFillShade="80"/>
        </w:rPr>
        <w:t>Axe 1 : Gouvernance de l’intégration région</w:t>
      </w:r>
      <w:r w:rsidRPr="00CF4AD7">
        <w:rPr>
          <w:rFonts w:cs="Arial"/>
          <w:b/>
          <w:bCs/>
          <w:color w:val="FFFFFF" w:themeColor="background1"/>
          <w:sz w:val="28"/>
          <w:szCs w:val="28"/>
        </w:rPr>
        <w:t>ale</w:t>
      </w:r>
    </w:p>
    <w:p w14:paraId="7DFF9D8F" w14:textId="1BC0B006" w:rsidR="008018B7" w:rsidRPr="00AA7159" w:rsidRDefault="008018B7" w:rsidP="00184C0E">
      <w:pPr>
        <w:spacing w:before="120" w:after="100" w:afterAutospacing="1"/>
        <w:ind w:right="57"/>
        <w:rPr>
          <w:rFonts w:cs="Arial"/>
          <w:b/>
          <w:bCs/>
          <w:szCs w:val="24"/>
        </w:rPr>
      </w:pPr>
      <w:r w:rsidRPr="002769FD">
        <w:rPr>
          <w:rFonts w:cs="Arial"/>
          <w:b/>
          <w:bCs/>
          <w:sz w:val="28"/>
          <w:szCs w:val="28"/>
          <w:u w:val="single"/>
        </w:rPr>
        <w:t>OS 1</w:t>
      </w:r>
      <w:r w:rsidRPr="00AA7159">
        <w:rPr>
          <w:rFonts w:cs="Arial"/>
          <w:b/>
          <w:bCs/>
          <w:szCs w:val="24"/>
        </w:rPr>
        <w:t xml:space="preserve"> : améliorer </w:t>
      </w:r>
      <w:r w:rsidR="002769FD" w:rsidRPr="00AA7159">
        <w:rPr>
          <w:rFonts w:cs="Arial"/>
          <w:b/>
          <w:bCs/>
          <w:szCs w:val="24"/>
        </w:rPr>
        <w:t>les cadres politiques</w:t>
      </w:r>
      <w:r w:rsidRPr="00AA7159">
        <w:rPr>
          <w:rFonts w:cs="Arial"/>
          <w:b/>
          <w:bCs/>
          <w:szCs w:val="24"/>
        </w:rPr>
        <w:t>, juridique et institutionnel de prise en charge de l’intégration régionale</w:t>
      </w:r>
    </w:p>
    <w:tbl>
      <w:tblPr>
        <w:tblStyle w:val="Grilledutableau"/>
        <w:tblW w:w="0" w:type="auto"/>
        <w:tblLook w:val="04A0" w:firstRow="1" w:lastRow="0" w:firstColumn="1" w:lastColumn="0" w:noHBand="0" w:noVBand="1"/>
      </w:tblPr>
      <w:tblGrid>
        <w:gridCol w:w="4530"/>
        <w:gridCol w:w="4530"/>
      </w:tblGrid>
      <w:tr w:rsidR="008018B7" w:rsidRPr="00AA7159" w14:paraId="6ACFCD9A" w14:textId="77777777" w:rsidTr="002769FD">
        <w:tc>
          <w:tcPr>
            <w:tcW w:w="4530" w:type="dxa"/>
            <w:shd w:val="clear" w:color="auto" w:fill="E2EFD9" w:themeFill="accent6" w:themeFillTint="33"/>
          </w:tcPr>
          <w:p w14:paraId="5A50273E" w14:textId="51AD50B1" w:rsidR="008018B7" w:rsidRPr="002769FD" w:rsidRDefault="002769FD" w:rsidP="002769FD">
            <w:pPr>
              <w:spacing w:before="120" w:after="100" w:afterAutospacing="1" w:line="240" w:lineRule="auto"/>
              <w:ind w:right="57"/>
              <w:jc w:val="center"/>
              <w:rPr>
                <w:rFonts w:cs="Arial"/>
                <w:b/>
                <w:bCs/>
                <w:sz w:val="28"/>
                <w:szCs w:val="28"/>
              </w:rPr>
            </w:pPr>
            <w:r w:rsidRPr="002769FD">
              <w:rPr>
                <w:rFonts w:cs="Arial"/>
                <w:b/>
                <w:bCs/>
                <w:sz w:val="28"/>
                <w:szCs w:val="28"/>
              </w:rPr>
              <w:t>ACTIONS</w:t>
            </w:r>
          </w:p>
        </w:tc>
        <w:tc>
          <w:tcPr>
            <w:tcW w:w="4530" w:type="dxa"/>
            <w:shd w:val="clear" w:color="auto" w:fill="E2EFD9" w:themeFill="accent6" w:themeFillTint="33"/>
          </w:tcPr>
          <w:p w14:paraId="4FFE5355" w14:textId="16E639B1" w:rsidR="008018B7" w:rsidRPr="002769FD" w:rsidRDefault="002769FD" w:rsidP="002769FD">
            <w:pPr>
              <w:spacing w:before="120" w:after="100" w:afterAutospacing="1" w:line="240" w:lineRule="auto"/>
              <w:ind w:left="284" w:right="57" w:firstLine="709"/>
              <w:jc w:val="center"/>
              <w:rPr>
                <w:rFonts w:cs="Arial"/>
                <w:b/>
                <w:bCs/>
                <w:sz w:val="28"/>
                <w:szCs w:val="28"/>
              </w:rPr>
            </w:pPr>
            <w:r w:rsidRPr="002769FD">
              <w:rPr>
                <w:rFonts w:cs="Arial"/>
                <w:b/>
                <w:bCs/>
                <w:sz w:val="28"/>
                <w:szCs w:val="28"/>
              </w:rPr>
              <w:t>ACTIVITES</w:t>
            </w:r>
          </w:p>
        </w:tc>
      </w:tr>
      <w:tr w:rsidR="008018B7" w:rsidRPr="00AA7159" w14:paraId="7253DAEB" w14:textId="77777777" w:rsidTr="002769FD">
        <w:tc>
          <w:tcPr>
            <w:tcW w:w="4530" w:type="dxa"/>
          </w:tcPr>
          <w:p w14:paraId="410F7219" w14:textId="6C79C32C" w:rsidR="008018B7" w:rsidRPr="00CF4AD7" w:rsidRDefault="008018B7" w:rsidP="002769FD">
            <w:pPr>
              <w:spacing w:before="120" w:after="100" w:afterAutospacing="1" w:line="240" w:lineRule="auto"/>
              <w:ind w:left="284" w:right="57"/>
              <w:rPr>
                <w:rFonts w:cs="Arial"/>
                <w:sz w:val="23"/>
                <w:szCs w:val="23"/>
              </w:rPr>
            </w:pPr>
            <w:r w:rsidRPr="00CF4AD7">
              <w:rPr>
                <w:rFonts w:cs="Arial"/>
                <w:b/>
                <w:sz w:val="23"/>
                <w:szCs w:val="23"/>
                <w:u w:val="single"/>
              </w:rPr>
              <w:t>Action 1 :</w:t>
            </w:r>
            <w:r w:rsidRPr="00CF4AD7">
              <w:rPr>
                <w:rFonts w:cs="Arial"/>
                <w:sz w:val="23"/>
                <w:szCs w:val="23"/>
              </w:rPr>
              <w:t xml:space="preserve"> </w:t>
            </w:r>
            <w:r w:rsidR="00265DD4" w:rsidRPr="00265DD4">
              <w:rPr>
                <w:rFonts w:cs="Arial"/>
                <w:sz w:val="23"/>
                <w:szCs w:val="23"/>
              </w:rPr>
              <w:t>Renforcement du leadership du Sénégal dans les organisations et institutions d’intégration régionale</w:t>
            </w:r>
          </w:p>
        </w:tc>
        <w:tc>
          <w:tcPr>
            <w:tcW w:w="4530" w:type="dxa"/>
          </w:tcPr>
          <w:p w14:paraId="08990B51" w14:textId="77777777" w:rsidR="008018B7" w:rsidRPr="00CF4AD7" w:rsidRDefault="008018B7" w:rsidP="002769FD">
            <w:pPr>
              <w:spacing w:before="120" w:after="100" w:afterAutospacing="1" w:line="240" w:lineRule="auto"/>
              <w:ind w:left="284" w:right="57"/>
              <w:rPr>
                <w:rFonts w:cs="Arial"/>
                <w:sz w:val="23"/>
                <w:szCs w:val="23"/>
              </w:rPr>
            </w:pPr>
            <w:r w:rsidRPr="00CF4AD7">
              <w:rPr>
                <w:rFonts w:cs="Arial"/>
                <w:sz w:val="23"/>
                <w:szCs w:val="23"/>
              </w:rPr>
              <w:t>Rendre effective la contribution financière du Sénégal au sein des différentes organisations et institutions d’intégration régionale</w:t>
            </w:r>
          </w:p>
        </w:tc>
      </w:tr>
      <w:tr w:rsidR="008018B7" w:rsidRPr="00AA7159" w14:paraId="0F4DBE92" w14:textId="77777777" w:rsidTr="002769FD">
        <w:tc>
          <w:tcPr>
            <w:tcW w:w="4530" w:type="dxa"/>
          </w:tcPr>
          <w:p w14:paraId="160267EE" w14:textId="77777777" w:rsidR="008018B7" w:rsidRPr="00CF4AD7" w:rsidRDefault="008018B7" w:rsidP="002769FD">
            <w:pPr>
              <w:spacing w:before="120" w:after="100" w:afterAutospacing="1" w:line="240" w:lineRule="auto"/>
              <w:ind w:left="284" w:right="57" w:firstLine="709"/>
              <w:rPr>
                <w:rFonts w:cs="Arial"/>
                <w:strike/>
                <w:sz w:val="23"/>
                <w:szCs w:val="23"/>
              </w:rPr>
            </w:pPr>
          </w:p>
        </w:tc>
        <w:tc>
          <w:tcPr>
            <w:tcW w:w="4530" w:type="dxa"/>
          </w:tcPr>
          <w:p w14:paraId="7559C0FE" w14:textId="77777777" w:rsidR="008018B7" w:rsidRPr="00CF4AD7" w:rsidRDefault="008018B7" w:rsidP="002769FD">
            <w:pPr>
              <w:spacing w:before="120" w:after="100" w:afterAutospacing="1" w:line="240" w:lineRule="auto"/>
              <w:ind w:left="284" w:right="57"/>
              <w:rPr>
                <w:rFonts w:cs="Arial"/>
                <w:strike/>
                <w:sz w:val="23"/>
                <w:szCs w:val="23"/>
              </w:rPr>
            </w:pPr>
            <w:r w:rsidRPr="00CF4AD7">
              <w:rPr>
                <w:rFonts w:cs="Arial"/>
                <w:sz w:val="23"/>
                <w:szCs w:val="23"/>
              </w:rPr>
              <w:t>Renforcer la présence des sénégalais dans les postes stratégiques au niveau des institutions d’intégration régionale</w:t>
            </w:r>
          </w:p>
        </w:tc>
      </w:tr>
      <w:tr w:rsidR="008018B7" w:rsidRPr="00AA7159" w14:paraId="65E0BD85" w14:textId="77777777" w:rsidTr="002769FD">
        <w:tc>
          <w:tcPr>
            <w:tcW w:w="4530" w:type="dxa"/>
          </w:tcPr>
          <w:p w14:paraId="3494A8E7" w14:textId="77777777" w:rsidR="008018B7" w:rsidRPr="00CF4AD7" w:rsidRDefault="008018B7" w:rsidP="002769FD">
            <w:pPr>
              <w:spacing w:before="120" w:after="100" w:afterAutospacing="1" w:line="240" w:lineRule="auto"/>
              <w:ind w:left="284" w:right="57" w:firstLine="709"/>
              <w:rPr>
                <w:rFonts w:cs="Arial"/>
                <w:sz w:val="23"/>
                <w:szCs w:val="23"/>
              </w:rPr>
            </w:pPr>
          </w:p>
        </w:tc>
        <w:tc>
          <w:tcPr>
            <w:tcW w:w="4530" w:type="dxa"/>
          </w:tcPr>
          <w:p w14:paraId="462072CB" w14:textId="77777777" w:rsidR="008018B7" w:rsidRPr="00CF4AD7" w:rsidRDefault="008018B7" w:rsidP="002769FD">
            <w:pPr>
              <w:spacing w:before="120" w:after="100" w:afterAutospacing="1" w:line="240" w:lineRule="auto"/>
              <w:ind w:left="284" w:right="57"/>
              <w:rPr>
                <w:rFonts w:cs="Arial"/>
                <w:sz w:val="23"/>
                <w:szCs w:val="23"/>
              </w:rPr>
            </w:pPr>
            <w:r w:rsidRPr="00CF4AD7">
              <w:rPr>
                <w:rFonts w:cs="Arial"/>
                <w:sz w:val="23"/>
                <w:szCs w:val="23"/>
              </w:rPr>
              <w:t>Organiser des sessions de sensibilisation au processus de l’intégration régionale au profit des agents de l’Etat, du secteur privé, de la société civile, des universitaires et des instituts de recherche, etc.</w:t>
            </w:r>
          </w:p>
        </w:tc>
      </w:tr>
      <w:tr w:rsidR="008018B7" w:rsidRPr="00AA7159" w14:paraId="74529FD2" w14:textId="77777777" w:rsidTr="002769FD">
        <w:tc>
          <w:tcPr>
            <w:tcW w:w="4530" w:type="dxa"/>
          </w:tcPr>
          <w:p w14:paraId="7004D212" w14:textId="77777777" w:rsidR="008018B7" w:rsidRPr="00CF4AD7" w:rsidRDefault="008018B7" w:rsidP="002769FD">
            <w:pPr>
              <w:spacing w:before="120" w:after="100" w:afterAutospacing="1" w:line="240" w:lineRule="auto"/>
              <w:ind w:left="284" w:right="57"/>
              <w:rPr>
                <w:rFonts w:cs="Arial"/>
                <w:sz w:val="23"/>
                <w:szCs w:val="23"/>
              </w:rPr>
            </w:pPr>
            <w:r w:rsidRPr="00CF4AD7">
              <w:rPr>
                <w:rFonts w:cs="Arial"/>
                <w:b/>
                <w:sz w:val="23"/>
                <w:szCs w:val="23"/>
                <w:u w:val="single"/>
              </w:rPr>
              <w:t>Action 2 :</w:t>
            </w:r>
            <w:r w:rsidRPr="00CF4AD7">
              <w:rPr>
                <w:rFonts w:cs="Arial"/>
                <w:sz w:val="23"/>
                <w:szCs w:val="23"/>
              </w:rPr>
              <w:t xml:space="preserve"> Mise en place d’un dispositif institutionnel et juridique cohérent pour une meilleure appropriation du processus d’intégration régionale</w:t>
            </w:r>
          </w:p>
        </w:tc>
        <w:tc>
          <w:tcPr>
            <w:tcW w:w="4530" w:type="dxa"/>
          </w:tcPr>
          <w:p w14:paraId="03FBF780" w14:textId="77777777" w:rsidR="008018B7" w:rsidRPr="00CF4AD7" w:rsidRDefault="008018B7" w:rsidP="002769FD">
            <w:pPr>
              <w:spacing w:before="120" w:after="100" w:afterAutospacing="1" w:line="240" w:lineRule="auto"/>
              <w:ind w:left="284" w:right="57"/>
              <w:rPr>
                <w:rFonts w:cs="Arial"/>
                <w:sz w:val="23"/>
                <w:szCs w:val="23"/>
              </w:rPr>
            </w:pPr>
            <w:r w:rsidRPr="00CF4AD7">
              <w:rPr>
                <w:rFonts w:cs="Arial"/>
                <w:sz w:val="23"/>
                <w:szCs w:val="23"/>
              </w:rPr>
              <w:t>Mettre en place un cadre juridique cohérent sur l’intégration régionale</w:t>
            </w:r>
          </w:p>
        </w:tc>
      </w:tr>
      <w:tr w:rsidR="008018B7" w:rsidRPr="00AA7159" w14:paraId="5D0F04D2" w14:textId="77777777" w:rsidTr="002769FD">
        <w:trPr>
          <w:trHeight w:val="836"/>
        </w:trPr>
        <w:tc>
          <w:tcPr>
            <w:tcW w:w="4530" w:type="dxa"/>
          </w:tcPr>
          <w:p w14:paraId="20CA2F94" w14:textId="77777777" w:rsidR="008018B7" w:rsidRPr="00CF4AD7" w:rsidRDefault="008018B7" w:rsidP="002769FD">
            <w:pPr>
              <w:spacing w:before="120" w:after="100" w:afterAutospacing="1" w:line="240" w:lineRule="auto"/>
              <w:ind w:left="284" w:right="57" w:firstLine="709"/>
              <w:rPr>
                <w:rFonts w:cs="Arial"/>
                <w:sz w:val="23"/>
                <w:szCs w:val="23"/>
              </w:rPr>
            </w:pPr>
          </w:p>
        </w:tc>
        <w:tc>
          <w:tcPr>
            <w:tcW w:w="4530" w:type="dxa"/>
          </w:tcPr>
          <w:p w14:paraId="3DCF8430" w14:textId="4BE27BC2" w:rsidR="008018B7" w:rsidRPr="00CF4AD7" w:rsidRDefault="008018B7" w:rsidP="002769FD">
            <w:pPr>
              <w:spacing w:before="120" w:after="100" w:afterAutospacing="1" w:line="240" w:lineRule="auto"/>
              <w:ind w:left="284" w:right="57"/>
              <w:rPr>
                <w:rFonts w:cs="Arial"/>
                <w:sz w:val="23"/>
                <w:szCs w:val="23"/>
              </w:rPr>
            </w:pPr>
            <w:r w:rsidRPr="00CF4AD7">
              <w:rPr>
                <w:rFonts w:cs="Arial"/>
                <w:sz w:val="23"/>
                <w:szCs w:val="23"/>
              </w:rPr>
              <w:t>Créer un Conseil National de l’intégration régionale en tant qu’organe d’orientation placé sous l’autorité du Premier Ministre</w:t>
            </w:r>
          </w:p>
        </w:tc>
      </w:tr>
      <w:tr w:rsidR="008018B7" w:rsidRPr="00AA7159" w14:paraId="0E7BDEFF" w14:textId="77777777" w:rsidTr="002769FD">
        <w:tc>
          <w:tcPr>
            <w:tcW w:w="4530" w:type="dxa"/>
          </w:tcPr>
          <w:p w14:paraId="2438CEE6" w14:textId="77777777" w:rsidR="008018B7" w:rsidRPr="00CF4AD7" w:rsidRDefault="008018B7" w:rsidP="002769FD">
            <w:pPr>
              <w:spacing w:before="120" w:after="100" w:afterAutospacing="1" w:line="240" w:lineRule="auto"/>
              <w:ind w:left="284" w:right="57" w:firstLine="709"/>
              <w:rPr>
                <w:rFonts w:cs="Arial"/>
                <w:sz w:val="23"/>
                <w:szCs w:val="23"/>
              </w:rPr>
            </w:pPr>
          </w:p>
        </w:tc>
        <w:tc>
          <w:tcPr>
            <w:tcW w:w="4530" w:type="dxa"/>
          </w:tcPr>
          <w:p w14:paraId="32660288" w14:textId="77777777" w:rsidR="008018B7" w:rsidRPr="00CF4AD7" w:rsidRDefault="008018B7" w:rsidP="002769FD">
            <w:pPr>
              <w:spacing w:before="120" w:after="100" w:afterAutospacing="1" w:line="240" w:lineRule="auto"/>
              <w:ind w:left="284" w:right="57"/>
              <w:rPr>
                <w:rFonts w:cs="Arial"/>
                <w:sz w:val="23"/>
                <w:szCs w:val="23"/>
              </w:rPr>
            </w:pPr>
            <w:r w:rsidRPr="00CF4AD7">
              <w:rPr>
                <w:rFonts w:cs="Arial"/>
                <w:sz w:val="23"/>
                <w:szCs w:val="23"/>
              </w:rPr>
              <w:t>Désigner le Ministère en charge de l’Economie comme tutelle technique et opérationnelle de suivi de l’intégration régionale</w:t>
            </w:r>
          </w:p>
        </w:tc>
      </w:tr>
      <w:tr w:rsidR="008018B7" w:rsidRPr="00AA7159" w14:paraId="3996319C" w14:textId="77777777" w:rsidTr="002769FD">
        <w:tc>
          <w:tcPr>
            <w:tcW w:w="4530" w:type="dxa"/>
          </w:tcPr>
          <w:p w14:paraId="412689F8" w14:textId="77777777" w:rsidR="008018B7" w:rsidRPr="00CF4AD7" w:rsidRDefault="008018B7" w:rsidP="002769FD">
            <w:pPr>
              <w:spacing w:before="120" w:after="100" w:afterAutospacing="1" w:line="240" w:lineRule="auto"/>
              <w:ind w:left="284" w:right="57" w:firstLine="709"/>
              <w:rPr>
                <w:rFonts w:cs="Arial"/>
                <w:sz w:val="23"/>
                <w:szCs w:val="23"/>
              </w:rPr>
            </w:pPr>
          </w:p>
        </w:tc>
        <w:tc>
          <w:tcPr>
            <w:tcW w:w="4530" w:type="dxa"/>
          </w:tcPr>
          <w:p w14:paraId="7E87C4CF" w14:textId="42563494" w:rsidR="008018B7" w:rsidRPr="00CF4AD7" w:rsidRDefault="008018B7" w:rsidP="002769FD">
            <w:pPr>
              <w:spacing w:before="120" w:after="100" w:afterAutospacing="1" w:line="240" w:lineRule="auto"/>
              <w:ind w:left="284" w:right="57"/>
              <w:rPr>
                <w:rFonts w:cs="Arial"/>
                <w:sz w:val="23"/>
                <w:szCs w:val="23"/>
              </w:rPr>
            </w:pPr>
            <w:r w:rsidRPr="00CF4AD7">
              <w:rPr>
                <w:rFonts w:cs="Arial"/>
                <w:sz w:val="23"/>
                <w:szCs w:val="23"/>
              </w:rPr>
              <w:t>Créer</w:t>
            </w:r>
            <w:r w:rsidR="002769FD" w:rsidRPr="00CF4AD7">
              <w:rPr>
                <w:rFonts w:cs="Arial"/>
                <w:sz w:val="23"/>
                <w:szCs w:val="23"/>
              </w:rPr>
              <w:t xml:space="preserve"> au sein du Ministère en charge </w:t>
            </w:r>
            <w:r w:rsidRPr="00CF4AD7">
              <w:rPr>
                <w:rFonts w:cs="Arial"/>
                <w:sz w:val="23"/>
                <w:szCs w:val="23"/>
              </w:rPr>
              <w:t>de l’Economie une Direction en charge de la Coordination et du Suivi de la Stratégie nationale d’Intégration régionale</w:t>
            </w:r>
          </w:p>
        </w:tc>
      </w:tr>
      <w:tr w:rsidR="008018B7" w:rsidRPr="00AA7159" w14:paraId="0E1FA76B" w14:textId="77777777" w:rsidTr="002769FD">
        <w:tc>
          <w:tcPr>
            <w:tcW w:w="4530" w:type="dxa"/>
          </w:tcPr>
          <w:p w14:paraId="51FA039D" w14:textId="77777777" w:rsidR="008018B7" w:rsidRPr="00CF4AD7" w:rsidRDefault="008018B7" w:rsidP="002769FD">
            <w:pPr>
              <w:spacing w:before="120" w:after="100" w:afterAutospacing="1" w:line="240" w:lineRule="auto"/>
              <w:ind w:left="284" w:right="57" w:firstLine="709"/>
              <w:rPr>
                <w:rFonts w:cs="Arial"/>
                <w:sz w:val="23"/>
                <w:szCs w:val="23"/>
              </w:rPr>
            </w:pPr>
          </w:p>
        </w:tc>
        <w:tc>
          <w:tcPr>
            <w:tcW w:w="4530" w:type="dxa"/>
          </w:tcPr>
          <w:p w14:paraId="7F6984FC" w14:textId="77777777" w:rsidR="008018B7" w:rsidRPr="00CF4AD7" w:rsidRDefault="008018B7" w:rsidP="002769FD">
            <w:pPr>
              <w:spacing w:before="120" w:after="100" w:afterAutospacing="1" w:line="240" w:lineRule="auto"/>
              <w:ind w:left="284" w:right="57"/>
              <w:rPr>
                <w:rFonts w:cs="Arial"/>
                <w:sz w:val="23"/>
                <w:szCs w:val="23"/>
              </w:rPr>
            </w:pPr>
            <w:r w:rsidRPr="00CF4AD7">
              <w:rPr>
                <w:rFonts w:cs="Arial"/>
                <w:sz w:val="23"/>
                <w:szCs w:val="23"/>
              </w:rPr>
              <w:t xml:space="preserve">Créer un Comité technique national de concertation sur les questions d’intégration régionale </w:t>
            </w:r>
          </w:p>
        </w:tc>
      </w:tr>
      <w:tr w:rsidR="008018B7" w:rsidRPr="00AA7159" w14:paraId="76E3F009" w14:textId="77777777" w:rsidTr="002769FD">
        <w:tc>
          <w:tcPr>
            <w:tcW w:w="4530" w:type="dxa"/>
          </w:tcPr>
          <w:p w14:paraId="6F666EB0" w14:textId="77777777" w:rsidR="008018B7" w:rsidRPr="00CF4AD7" w:rsidRDefault="008018B7" w:rsidP="002769FD">
            <w:pPr>
              <w:spacing w:before="120" w:after="100" w:afterAutospacing="1" w:line="240" w:lineRule="auto"/>
              <w:ind w:left="284" w:right="57"/>
              <w:rPr>
                <w:rFonts w:cs="Arial"/>
                <w:color w:val="FF0000"/>
                <w:sz w:val="23"/>
                <w:szCs w:val="23"/>
              </w:rPr>
            </w:pPr>
            <w:r w:rsidRPr="00CF4AD7">
              <w:rPr>
                <w:rFonts w:cs="Arial"/>
                <w:b/>
                <w:sz w:val="23"/>
                <w:szCs w:val="23"/>
                <w:u w:val="single"/>
              </w:rPr>
              <w:t>Action 3 :</w:t>
            </w:r>
            <w:r w:rsidRPr="00CF4AD7">
              <w:rPr>
                <w:rFonts w:cs="Arial"/>
                <w:sz w:val="23"/>
                <w:szCs w:val="23"/>
              </w:rPr>
              <w:t xml:space="preserve"> Appui à la mise en œuvre accélérée des réformes, politiques, programmes et projets communautaires</w:t>
            </w:r>
          </w:p>
        </w:tc>
        <w:tc>
          <w:tcPr>
            <w:tcW w:w="4530" w:type="dxa"/>
          </w:tcPr>
          <w:p w14:paraId="47B14654" w14:textId="77777777" w:rsidR="008018B7" w:rsidRPr="00CF4AD7" w:rsidRDefault="008018B7" w:rsidP="002769FD">
            <w:pPr>
              <w:spacing w:before="120" w:after="100" w:afterAutospacing="1" w:line="240" w:lineRule="auto"/>
              <w:ind w:left="284" w:right="57"/>
              <w:rPr>
                <w:rFonts w:cs="Arial"/>
                <w:sz w:val="23"/>
                <w:szCs w:val="23"/>
              </w:rPr>
            </w:pPr>
            <w:r w:rsidRPr="00CF4AD7">
              <w:rPr>
                <w:rFonts w:cs="Arial"/>
                <w:sz w:val="23"/>
                <w:szCs w:val="23"/>
              </w:rPr>
              <w:t>Tenir des réunions de concertation préalables sur les projets de texte communautaires avant leur adoption</w:t>
            </w:r>
          </w:p>
        </w:tc>
      </w:tr>
      <w:tr w:rsidR="008018B7" w:rsidRPr="00AA7159" w14:paraId="41B85AF9" w14:textId="77777777" w:rsidTr="002769FD">
        <w:tc>
          <w:tcPr>
            <w:tcW w:w="4530" w:type="dxa"/>
          </w:tcPr>
          <w:p w14:paraId="217C7C36" w14:textId="77777777" w:rsidR="008018B7" w:rsidRPr="00CF4AD7" w:rsidRDefault="008018B7" w:rsidP="002769FD">
            <w:pPr>
              <w:spacing w:before="120" w:after="100" w:afterAutospacing="1" w:line="240" w:lineRule="auto"/>
              <w:ind w:left="284" w:right="57" w:firstLine="709"/>
              <w:rPr>
                <w:rFonts w:cs="Arial"/>
                <w:color w:val="FF0000"/>
                <w:sz w:val="23"/>
                <w:szCs w:val="23"/>
              </w:rPr>
            </w:pPr>
          </w:p>
        </w:tc>
        <w:tc>
          <w:tcPr>
            <w:tcW w:w="4530" w:type="dxa"/>
          </w:tcPr>
          <w:p w14:paraId="3FB5EFAB" w14:textId="77777777" w:rsidR="008018B7" w:rsidRPr="00CF4AD7" w:rsidRDefault="008018B7" w:rsidP="002769FD">
            <w:pPr>
              <w:spacing w:before="120" w:after="100" w:afterAutospacing="1" w:line="240" w:lineRule="auto"/>
              <w:ind w:left="284" w:right="57"/>
              <w:rPr>
                <w:rFonts w:cs="Arial"/>
                <w:sz w:val="23"/>
                <w:szCs w:val="23"/>
              </w:rPr>
            </w:pPr>
            <w:r w:rsidRPr="00CF4AD7">
              <w:rPr>
                <w:rFonts w:cs="Arial"/>
                <w:sz w:val="23"/>
                <w:szCs w:val="23"/>
              </w:rPr>
              <w:t>Organiser des sessions de renforcement de capacité sur l’internalisation des textes communautaires</w:t>
            </w:r>
          </w:p>
        </w:tc>
      </w:tr>
      <w:tr w:rsidR="008018B7" w:rsidRPr="00AA7159" w14:paraId="7A678252" w14:textId="77777777" w:rsidTr="002769FD">
        <w:tc>
          <w:tcPr>
            <w:tcW w:w="4530" w:type="dxa"/>
          </w:tcPr>
          <w:p w14:paraId="5886D2DB" w14:textId="77777777" w:rsidR="008018B7" w:rsidRPr="00CF4AD7" w:rsidRDefault="008018B7" w:rsidP="002769FD">
            <w:pPr>
              <w:spacing w:before="120" w:after="100" w:afterAutospacing="1" w:line="240" w:lineRule="auto"/>
              <w:ind w:left="284" w:right="57" w:firstLine="709"/>
              <w:rPr>
                <w:rFonts w:cs="Arial"/>
                <w:color w:val="FF0000"/>
                <w:sz w:val="23"/>
                <w:szCs w:val="23"/>
              </w:rPr>
            </w:pPr>
          </w:p>
        </w:tc>
        <w:tc>
          <w:tcPr>
            <w:tcW w:w="4530" w:type="dxa"/>
          </w:tcPr>
          <w:p w14:paraId="4753F193" w14:textId="77777777" w:rsidR="008018B7" w:rsidRPr="00CF4AD7" w:rsidRDefault="008018B7" w:rsidP="002769FD">
            <w:pPr>
              <w:spacing w:before="120" w:after="100" w:afterAutospacing="1" w:line="240" w:lineRule="auto"/>
              <w:ind w:left="284" w:right="57"/>
              <w:rPr>
                <w:rFonts w:cs="Arial"/>
                <w:sz w:val="23"/>
                <w:szCs w:val="23"/>
              </w:rPr>
            </w:pPr>
            <w:r w:rsidRPr="00CF4AD7">
              <w:rPr>
                <w:rFonts w:cs="Arial"/>
                <w:sz w:val="23"/>
                <w:szCs w:val="23"/>
              </w:rPr>
              <w:t>Organiser des revues périodiques sur la mise en œuvre des projets, programmes et textes communautaires</w:t>
            </w:r>
          </w:p>
        </w:tc>
      </w:tr>
    </w:tbl>
    <w:p w14:paraId="4379BE73" w14:textId="77777777" w:rsidR="008018B7" w:rsidRPr="00AA7159" w:rsidRDefault="008018B7" w:rsidP="002769FD">
      <w:pPr>
        <w:spacing w:before="120" w:after="100" w:afterAutospacing="1"/>
        <w:ind w:right="57"/>
        <w:rPr>
          <w:rFonts w:cs="Arial"/>
          <w:b/>
          <w:color w:val="FF0000"/>
          <w:szCs w:val="24"/>
        </w:rPr>
      </w:pPr>
      <w:r w:rsidRPr="002769FD">
        <w:rPr>
          <w:rFonts w:cs="Arial"/>
          <w:b/>
          <w:sz w:val="28"/>
          <w:szCs w:val="28"/>
          <w:u w:val="single"/>
        </w:rPr>
        <w:t xml:space="preserve">OS 2 </w:t>
      </w:r>
      <w:r w:rsidRPr="002769FD">
        <w:rPr>
          <w:rFonts w:cs="Arial"/>
          <w:b/>
          <w:sz w:val="28"/>
          <w:szCs w:val="28"/>
        </w:rPr>
        <w:t xml:space="preserve">: </w:t>
      </w:r>
      <w:r w:rsidRPr="00AA7159">
        <w:rPr>
          <w:rFonts w:cs="Arial"/>
          <w:b/>
          <w:szCs w:val="24"/>
        </w:rPr>
        <w:t>Contribuer au maintien de la paix et à la lutte contre le financement du terrorisme, le blanchiment de capitaux et l’insécurité transfrontalière</w:t>
      </w:r>
      <w:r w:rsidRPr="00AA7159">
        <w:rPr>
          <w:rFonts w:cs="Arial"/>
          <w:b/>
          <w:color w:val="FF0000"/>
          <w:szCs w:val="24"/>
        </w:rPr>
        <w:t xml:space="preserve"> </w:t>
      </w:r>
    </w:p>
    <w:tbl>
      <w:tblPr>
        <w:tblStyle w:val="Grilledutableau"/>
        <w:tblW w:w="0" w:type="auto"/>
        <w:tblLook w:val="04A0" w:firstRow="1" w:lastRow="0" w:firstColumn="1" w:lastColumn="0" w:noHBand="0" w:noVBand="1"/>
      </w:tblPr>
      <w:tblGrid>
        <w:gridCol w:w="4530"/>
        <w:gridCol w:w="4530"/>
      </w:tblGrid>
      <w:tr w:rsidR="008018B7" w:rsidRPr="00AA7159" w14:paraId="091F23E7" w14:textId="77777777" w:rsidTr="002769FD">
        <w:trPr>
          <w:trHeight w:val="1056"/>
        </w:trPr>
        <w:tc>
          <w:tcPr>
            <w:tcW w:w="4530" w:type="dxa"/>
          </w:tcPr>
          <w:p w14:paraId="59DD1C16" w14:textId="2180522B" w:rsidR="008018B7" w:rsidRPr="00AA7159" w:rsidRDefault="008018B7" w:rsidP="002769FD">
            <w:pPr>
              <w:spacing w:before="120" w:after="100" w:afterAutospacing="1" w:line="240" w:lineRule="auto"/>
              <w:ind w:left="284" w:right="57"/>
              <w:rPr>
                <w:rFonts w:cs="Arial"/>
                <w:color w:val="FF0000"/>
                <w:szCs w:val="24"/>
              </w:rPr>
            </w:pPr>
            <w:r w:rsidRPr="002769FD">
              <w:rPr>
                <w:rFonts w:cs="Arial"/>
                <w:b/>
                <w:szCs w:val="24"/>
                <w:u w:val="single"/>
              </w:rPr>
              <w:t>Action 1</w:t>
            </w:r>
            <w:r w:rsidRPr="002769FD">
              <w:rPr>
                <w:rFonts w:cs="Arial"/>
                <w:b/>
                <w:szCs w:val="24"/>
              </w:rPr>
              <w:t> :</w:t>
            </w:r>
            <w:r w:rsidRPr="00AA7159">
              <w:rPr>
                <w:rFonts w:cs="Arial"/>
                <w:szCs w:val="24"/>
              </w:rPr>
              <w:t xml:space="preserve"> Renforcement de la participation du Sénégal dans les opérations de maintien de la paix </w:t>
            </w:r>
          </w:p>
        </w:tc>
        <w:tc>
          <w:tcPr>
            <w:tcW w:w="4530" w:type="dxa"/>
          </w:tcPr>
          <w:p w14:paraId="128B67F0" w14:textId="77777777" w:rsidR="008018B7" w:rsidRPr="00AA7159" w:rsidRDefault="008018B7" w:rsidP="002769FD">
            <w:pPr>
              <w:spacing w:before="120" w:after="100" w:afterAutospacing="1" w:line="240" w:lineRule="auto"/>
              <w:ind w:left="284" w:right="57"/>
              <w:rPr>
                <w:rFonts w:cs="Arial"/>
                <w:szCs w:val="24"/>
              </w:rPr>
            </w:pPr>
            <w:r w:rsidRPr="00AA7159">
              <w:rPr>
                <w:rFonts w:cs="Arial"/>
                <w:szCs w:val="24"/>
              </w:rPr>
              <w:t>Mettre en œuvre les dispositions des protocoles communautaires sur la prévention et la gestion des conflits</w:t>
            </w:r>
          </w:p>
        </w:tc>
      </w:tr>
      <w:tr w:rsidR="008018B7" w:rsidRPr="00AA7159" w14:paraId="1276FE73" w14:textId="77777777" w:rsidTr="002769FD">
        <w:tc>
          <w:tcPr>
            <w:tcW w:w="4530" w:type="dxa"/>
          </w:tcPr>
          <w:p w14:paraId="0AB113DC" w14:textId="77777777" w:rsidR="008018B7" w:rsidRPr="00AA7159" w:rsidRDefault="008018B7" w:rsidP="002769FD">
            <w:pPr>
              <w:spacing w:before="120" w:after="100" w:afterAutospacing="1" w:line="240" w:lineRule="auto"/>
              <w:ind w:left="284" w:right="57" w:firstLine="709"/>
              <w:rPr>
                <w:rFonts w:cs="Arial"/>
                <w:szCs w:val="24"/>
              </w:rPr>
            </w:pPr>
          </w:p>
        </w:tc>
        <w:tc>
          <w:tcPr>
            <w:tcW w:w="4530" w:type="dxa"/>
          </w:tcPr>
          <w:p w14:paraId="4653A894" w14:textId="698CDFA7" w:rsidR="008018B7" w:rsidRPr="00AA7159" w:rsidRDefault="003C0BEE" w:rsidP="002769FD">
            <w:pPr>
              <w:spacing w:before="120" w:after="100" w:afterAutospacing="1" w:line="240" w:lineRule="auto"/>
              <w:ind w:left="284" w:right="57"/>
              <w:rPr>
                <w:rFonts w:cs="Arial"/>
                <w:color w:val="FF0000"/>
                <w:szCs w:val="24"/>
              </w:rPr>
            </w:pPr>
            <w:r w:rsidRPr="003C0BEE">
              <w:rPr>
                <w:rFonts w:cs="Arial"/>
                <w:szCs w:val="24"/>
              </w:rPr>
              <w:t>Favoriser les conditions d’intervention de l’État par une mise en œuvre d’un cadre normatif, institutionnel et financier de gouvernance de la paix et sécurité</w:t>
            </w:r>
          </w:p>
        </w:tc>
      </w:tr>
      <w:tr w:rsidR="003C0BEE" w:rsidRPr="00AA7159" w14:paraId="361C62B2" w14:textId="77777777" w:rsidTr="003C0BEE">
        <w:tc>
          <w:tcPr>
            <w:tcW w:w="4530" w:type="dxa"/>
            <w:vMerge w:val="restart"/>
            <w:vAlign w:val="center"/>
          </w:tcPr>
          <w:p w14:paraId="17027A9A" w14:textId="77777777" w:rsidR="003C0BEE" w:rsidRPr="00AA7159" w:rsidRDefault="003C0BEE" w:rsidP="002769FD">
            <w:pPr>
              <w:spacing w:before="120" w:after="100" w:afterAutospacing="1" w:line="240" w:lineRule="auto"/>
              <w:ind w:left="284" w:right="57"/>
              <w:rPr>
                <w:rFonts w:cs="Arial"/>
                <w:szCs w:val="24"/>
              </w:rPr>
            </w:pPr>
            <w:r w:rsidRPr="002769FD">
              <w:rPr>
                <w:rFonts w:cs="Arial"/>
                <w:b/>
                <w:szCs w:val="24"/>
                <w:u w:val="single"/>
              </w:rPr>
              <w:t>Action 2</w:t>
            </w:r>
            <w:r w:rsidRPr="002769FD">
              <w:rPr>
                <w:rFonts w:cs="Arial"/>
                <w:b/>
                <w:szCs w:val="24"/>
              </w:rPr>
              <w:t> :</w:t>
            </w:r>
            <w:r w:rsidRPr="00AA7159">
              <w:rPr>
                <w:rFonts w:cs="Arial"/>
                <w:szCs w:val="24"/>
              </w:rPr>
              <w:t xml:space="preserve"> Renforcement du cadre juridique de lutte contre le terrorisme et le blanchiment de capitaux</w:t>
            </w:r>
          </w:p>
        </w:tc>
        <w:tc>
          <w:tcPr>
            <w:tcW w:w="4530" w:type="dxa"/>
          </w:tcPr>
          <w:p w14:paraId="55263717" w14:textId="77777777" w:rsidR="003C0BEE" w:rsidRPr="00AA7159" w:rsidRDefault="003C0BEE" w:rsidP="002769FD">
            <w:pPr>
              <w:spacing w:before="120" w:after="100" w:afterAutospacing="1" w:line="240" w:lineRule="auto"/>
              <w:ind w:left="284" w:right="57"/>
              <w:rPr>
                <w:rFonts w:cs="Arial"/>
                <w:szCs w:val="24"/>
              </w:rPr>
            </w:pPr>
            <w:r w:rsidRPr="00AA7159">
              <w:rPr>
                <w:rFonts w:cs="Arial"/>
                <w:szCs w:val="24"/>
              </w:rPr>
              <w:t>Transposer et appliquer les instruments juridiques de lutte contre le financement du terrorisme et le blanchiment de capitaux</w:t>
            </w:r>
          </w:p>
        </w:tc>
      </w:tr>
      <w:tr w:rsidR="003C0BEE" w:rsidRPr="00AA7159" w14:paraId="3CF6A9FE" w14:textId="77777777" w:rsidTr="002769FD">
        <w:tc>
          <w:tcPr>
            <w:tcW w:w="4530" w:type="dxa"/>
            <w:vMerge/>
          </w:tcPr>
          <w:p w14:paraId="7A030B5F" w14:textId="77777777" w:rsidR="003C0BEE" w:rsidRPr="00AA7159" w:rsidRDefault="003C0BEE" w:rsidP="002769FD">
            <w:pPr>
              <w:spacing w:before="120" w:after="100" w:afterAutospacing="1" w:line="240" w:lineRule="auto"/>
              <w:ind w:left="284" w:right="57" w:firstLine="709"/>
              <w:rPr>
                <w:rFonts w:cs="Arial"/>
                <w:szCs w:val="24"/>
              </w:rPr>
            </w:pPr>
          </w:p>
        </w:tc>
        <w:tc>
          <w:tcPr>
            <w:tcW w:w="4530" w:type="dxa"/>
          </w:tcPr>
          <w:p w14:paraId="61D82B01" w14:textId="77777777" w:rsidR="003C0BEE" w:rsidRPr="00AA7159" w:rsidRDefault="003C0BEE" w:rsidP="002769FD">
            <w:pPr>
              <w:spacing w:before="120" w:after="100" w:afterAutospacing="1" w:line="240" w:lineRule="auto"/>
              <w:ind w:left="284" w:right="57"/>
              <w:rPr>
                <w:rFonts w:cs="Arial"/>
                <w:szCs w:val="24"/>
              </w:rPr>
            </w:pPr>
            <w:r w:rsidRPr="00AA7159">
              <w:rPr>
                <w:rFonts w:cs="Arial"/>
                <w:szCs w:val="24"/>
              </w:rPr>
              <w:t>Mettre en œuvre la stratégie régionale de la CEDEAO de lutte contre le terrorisme</w:t>
            </w:r>
          </w:p>
        </w:tc>
      </w:tr>
      <w:tr w:rsidR="003C0BEE" w:rsidRPr="00AA7159" w14:paraId="20F0A8C2" w14:textId="77777777" w:rsidTr="003C0BEE">
        <w:tc>
          <w:tcPr>
            <w:tcW w:w="4530" w:type="dxa"/>
            <w:vMerge w:val="restart"/>
            <w:vAlign w:val="center"/>
          </w:tcPr>
          <w:p w14:paraId="36AB040D" w14:textId="77777777" w:rsidR="003C0BEE" w:rsidRPr="00AA7159" w:rsidRDefault="003C0BEE" w:rsidP="003C0BEE">
            <w:pPr>
              <w:spacing w:before="120" w:after="100" w:afterAutospacing="1" w:line="240" w:lineRule="auto"/>
              <w:ind w:left="284" w:right="57"/>
              <w:rPr>
                <w:rFonts w:cs="Arial"/>
                <w:szCs w:val="24"/>
              </w:rPr>
            </w:pPr>
            <w:r w:rsidRPr="002769FD">
              <w:rPr>
                <w:rFonts w:cs="Arial"/>
                <w:b/>
                <w:szCs w:val="24"/>
                <w:u w:val="single"/>
              </w:rPr>
              <w:t>Action 3 :</w:t>
            </w:r>
            <w:r w:rsidRPr="00AA7159">
              <w:rPr>
                <w:rFonts w:cs="Arial"/>
                <w:szCs w:val="24"/>
              </w:rPr>
              <w:t xml:space="preserve"> Renforcement de la lutte contre l’insécurité transfrontalière</w:t>
            </w:r>
          </w:p>
          <w:p w14:paraId="59C72F8D" w14:textId="77777777" w:rsidR="003C0BEE" w:rsidRPr="00AA7159" w:rsidRDefault="003C0BEE" w:rsidP="003C0BEE">
            <w:pPr>
              <w:spacing w:before="120" w:after="100" w:afterAutospacing="1" w:line="240" w:lineRule="auto"/>
              <w:ind w:left="284" w:right="57" w:firstLine="709"/>
              <w:rPr>
                <w:rFonts w:cs="Arial"/>
                <w:szCs w:val="24"/>
              </w:rPr>
            </w:pPr>
          </w:p>
        </w:tc>
        <w:tc>
          <w:tcPr>
            <w:tcW w:w="4530" w:type="dxa"/>
          </w:tcPr>
          <w:p w14:paraId="49782357" w14:textId="4A8E3A6A" w:rsidR="003C0BEE" w:rsidRPr="00AA7159" w:rsidRDefault="003C0BEE" w:rsidP="003C0BEE">
            <w:pPr>
              <w:spacing w:before="120" w:after="100" w:afterAutospacing="1" w:line="240" w:lineRule="auto"/>
              <w:ind w:left="284" w:right="57"/>
              <w:rPr>
                <w:rFonts w:cs="Arial"/>
                <w:szCs w:val="24"/>
              </w:rPr>
            </w:pPr>
            <w:r w:rsidRPr="00913D81">
              <w:rPr>
                <w:rFonts w:cs="Arial"/>
                <w:szCs w:val="24"/>
              </w:rPr>
              <w:t xml:space="preserve">Mettre en œuvre les activités prévues au titre du programme de coopération transfrontalière de la CEDEAO </w:t>
            </w:r>
          </w:p>
        </w:tc>
      </w:tr>
      <w:tr w:rsidR="003C0BEE" w:rsidRPr="00AA7159" w14:paraId="0D6F268F" w14:textId="77777777" w:rsidTr="002769FD">
        <w:tc>
          <w:tcPr>
            <w:tcW w:w="4530" w:type="dxa"/>
            <w:vMerge/>
          </w:tcPr>
          <w:p w14:paraId="4B86E062" w14:textId="77777777" w:rsidR="003C0BEE" w:rsidRPr="00AA7159" w:rsidRDefault="003C0BEE" w:rsidP="003C0BEE">
            <w:pPr>
              <w:spacing w:before="120" w:after="100" w:afterAutospacing="1" w:line="240" w:lineRule="auto"/>
              <w:ind w:left="284" w:right="57" w:firstLine="709"/>
              <w:rPr>
                <w:rFonts w:cs="Arial"/>
                <w:szCs w:val="24"/>
              </w:rPr>
            </w:pPr>
          </w:p>
        </w:tc>
        <w:tc>
          <w:tcPr>
            <w:tcW w:w="4530" w:type="dxa"/>
          </w:tcPr>
          <w:p w14:paraId="105AFB80" w14:textId="0B6E214C" w:rsidR="003C0BEE" w:rsidRPr="00AA7159" w:rsidRDefault="003C0BEE" w:rsidP="003C0BEE">
            <w:pPr>
              <w:spacing w:before="120" w:after="100" w:afterAutospacing="1" w:line="240" w:lineRule="auto"/>
              <w:ind w:left="284" w:right="57"/>
              <w:rPr>
                <w:rFonts w:cs="Arial"/>
                <w:szCs w:val="24"/>
              </w:rPr>
            </w:pPr>
            <w:r w:rsidRPr="00913D81">
              <w:rPr>
                <w:rFonts w:cs="Arial"/>
                <w:szCs w:val="24"/>
              </w:rPr>
              <w:t>Sensibiliser les populations et les forces de défense et de sécurité sur la montée de l’extrémisme violent et de la criminalité transnationale</w:t>
            </w:r>
          </w:p>
        </w:tc>
      </w:tr>
      <w:tr w:rsidR="003C0BEE" w:rsidRPr="00AA7159" w14:paraId="4A841AF4" w14:textId="77777777" w:rsidTr="002769FD">
        <w:tc>
          <w:tcPr>
            <w:tcW w:w="4530" w:type="dxa"/>
            <w:vMerge/>
          </w:tcPr>
          <w:p w14:paraId="7C26F33E" w14:textId="77777777" w:rsidR="003C0BEE" w:rsidRPr="00AA7159" w:rsidRDefault="003C0BEE" w:rsidP="003C0BEE">
            <w:pPr>
              <w:spacing w:before="120" w:after="100" w:afterAutospacing="1" w:line="240" w:lineRule="auto"/>
              <w:ind w:left="284" w:right="57" w:firstLine="709"/>
              <w:rPr>
                <w:rFonts w:cs="Arial"/>
                <w:szCs w:val="24"/>
              </w:rPr>
            </w:pPr>
          </w:p>
        </w:tc>
        <w:tc>
          <w:tcPr>
            <w:tcW w:w="4530" w:type="dxa"/>
          </w:tcPr>
          <w:p w14:paraId="7D4E93AC" w14:textId="6DDE585A" w:rsidR="003C0BEE" w:rsidRPr="00AA7159" w:rsidRDefault="003C0BEE" w:rsidP="003C0BEE">
            <w:pPr>
              <w:spacing w:before="120" w:after="100" w:afterAutospacing="1" w:line="240" w:lineRule="auto"/>
              <w:ind w:left="284" w:right="57"/>
              <w:rPr>
                <w:rFonts w:cs="Arial"/>
                <w:szCs w:val="24"/>
              </w:rPr>
            </w:pPr>
            <w:r w:rsidRPr="00913D81">
              <w:rPr>
                <w:rFonts w:cs="Arial"/>
                <w:szCs w:val="24"/>
              </w:rPr>
              <w:t>Renforcer les effectifs et les capacités d’intervention des forces de défense et de sécurité au niveau des frontières</w:t>
            </w:r>
          </w:p>
        </w:tc>
      </w:tr>
    </w:tbl>
    <w:p w14:paraId="3CD96957" w14:textId="77777777" w:rsidR="008018B7" w:rsidRPr="00AA7159" w:rsidRDefault="008018B7" w:rsidP="008018B7">
      <w:pPr>
        <w:spacing w:before="120" w:after="100" w:afterAutospacing="1"/>
        <w:ind w:left="284" w:right="57" w:firstLine="709"/>
        <w:rPr>
          <w:rFonts w:cs="Arial"/>
          <w:szCs w:val="24"/>
        </w:rPr>
      </w:pPr>
    </w:p>
    <w:p w14:paraId="0CA7BCDA" w14:textId="77777777" w:rsidR="002769FD" w:rsidRDefault="002769FD">
      <w:pPr>
        <w:spacing w:after="160" w:line="259" w:lineRule="auto"/>
        <w:jc w:val="left"/>
        <w:rPr>
          <w:rFonts w:cs="Arial"/>
          <w:b/>
          <w:bCs/>
          <w:sz w:val="28"/>
          <w:szCs w:val="28"/>
          <w:u w:val="single"/>
        </w:rPr>
      </w:pPr>
      <w:r>
        <w:rPr>
          <w:rFonts w:cs="Arial"/>
          <w:b/>
          <w:bCs/>
          <w:sz w:val="28"/>
          <w:szCs w:val="28"/>
          <w:u w:val="single"/>
        </w:rPr>
        <w:br w:type="page"/>
      </w:r>
    </w:p>
    <w:p w14:paraId="7BAB01B3" w14:textId="61477030" w:rsidR="008018B7" w:rsidRPr="00AA7159" w:rsidRDefault="008018B7" w:rsidP="002769FD">
      <w:pPr>
        <w:tabs>
          <w:tab w:val="left" w:pos="950"/>
        </w:tabs>
        <w:spacing w:before="120" w:after="100" w:afterAutospacing="1"/>
        <w:ind w:right="57"/>
        <w:rPr>
          <w:rFonts w:cs="Arial"/>
          <w:b/>
          <w:bCs/>
          <w:szCs w:val="24"/>
        </w:rPr>
      </w:pPr>
      <w:r w:rsidRPr="002769FD">
        <w:rPr>
          <w:rFonts w:cs="Arial"/>
          <w:b/>
          <w:bCs/>
          <w:sz w:val="28"/>
          <w:szCs w:val="28"/>
          <w:u w:val="single"/>
        </w:rPr>
        <w:lastRenderedPageBreak/>
        <w:t>OS 3 :</w:t>
      </w:r>
      <w:r w:rsidRPr="00AA7159">
        <w:rPr>
          <w:rFonts w:cs="Arial"/>
          <w:b/>
          <w:bCs/>
          <w:szCs w:val="24"/>
        </w:rPr>
        <w:t xml:space="preserve"> Promouvoir la mobilité des compétences dans l’espace communautaire </w:t>
      </w:r>
    </w:p>
    <w:tbl>
      <w:tblPr>
        <w:tblStyle w:val="Grilledutableau"/>
        <w:tblW w:w="9072" w:type="dxa"/>
        <w:tblInd w:w="-5" w:type="dxa"/>
        <w:tblLook w:val="04A0" w:firstRow="1" w:lastRow="0" w:firstColumn="1" w:lastColumn="0" w:noHBand="0" w:noVBand="1"/>
      </w:tblPr>
      <w:tblGrid>
        <w:gridCol w:w="4536"/>
        <w:gridCol w:w="4536"/>
      </w:tblGrid>
      <w:tr w:rsidR="008018B7" w:rsidRPr="002769FD" w14:paraId="0A105AB6" w14:textId="77777777" w:rsidTr="002769FD">
        <w:tc>
          <w:tcPr>
            <w:tcW w:w="4536" w:type="dxa"/>
            <w:shd w:val="clear" w:color="auto" w:fill="E2EFD9" w:themeFill="accent6" w:themeFillTint="33"/>
          </w:tcPr>
          <w:p w14:paraId="76A71E38" w14:textId="4389B253" w:rsidR="008018B7" w:rsidRPr="003C0BEE" w:rsidRDefault="002769FD" w:rsidP="003C0BEE">
            <w:pPr>
              <w:tabs>
                <w:tab w:val="left" w:pos="950"/>
              </w:tabs>
              <w:spacing w:before="120" w:after="100" w:afterAutospacing="1" w:line="240" w:lineRule="auto"/>
              <w:ind w:right="57"/>
              <w:jc w:val="center"/>
              <w:rPr>
                <w:rFonts w:cs="Arial"/>
                <w:sz w:val="28"/>
                <w:szCs w:val="28"/>
              </w:rPr>
            </w:pPr>
            <w:r w:rsidRPr="003C0BEE">
              <w:rPr>
                <w:rFonts w:cs="Arial"/>
                <w:b/>
                <w:bCs/>
                <w:sz w:val="28"/>
                <w:szCs w:val="28"/>
              </w:rPr>
              <w:t>ACTIONS</w:t>
            </w:r>
          </w:p>
        </w:tc>
        <w:tc>
          <w:tcPr>
            <w:tcW w:w="4536" w:type="dxa"/>
            <w:shd w:val="clear" w:color="auto" w:fill="E2EFD9" w:themeFill="accent6" w:themeFillTint="33"/>
          </w:tcPr>
          <w:p w14:paraId="043F4395" w14:textId="312F6F6A" w:rsidR="008018B7" w:rsidRPr="002769FD" w:rsidRDefault="002769FD" w:rsidP="002769FD">
            <w:pPr>
              <w:pStyle w:val="Pardeliste"/>
              <w:tabs>
                <w:tab w:val="left" w:pos="950"/>
              </w:tabs>
              <w:spacing w:before="120" w:after="100" w:afterAutospacing="1" w:line="240" w:lineRule="auto"/>
              <w:ind w:left="284" w:right="57" w:firstLine="709"/>
              <w:rPr>
                <w:rFonts w:cs="Arial"/>
                <w:sz w:val="28"/>
                <w:szCs w:val="28"/>
              </w:rPr>
            </w:pPr>
            <w:r w:rsidRPr="002769FD">
              <w:rPr>
                <w:rFonts w:cs="Arial"/>
                <w:b/>
                <w:bCs/>
                <w:sz w:val="28"/>
                <w:szCs w:val="28"/>
              </w:rPr>
              <w:t>ACTIVITES</w:t>
            </w:r>
          </w:p>
        </w:tc>
      </w:tr>
      <w:tr w:rsidR="008018B7" w:rsidRPr="00AA7159" w14:paraId="3DF6290E" w14:textId="77777777" w:rsidTr="00B40CC1">
        <w:trPr>
          <w:trHeight w:val="1049"/>
        </w:trPr>
        <w:tc>
          <w:tcPr>
            <w:tcW w:w="4536" w:type="dxa"/>
          </w:tcPr>
          <w:p w14:paraId="3074B8B5" w14:textId="77777777" w:rsidR="008018B7" w:rsidRPr="00AA7159" w:rsidRDefault="008018B7" w:rsidP="002769FD">
            <w:pPr>
              <w:spacing w:before="120" w:after="100" w:afterAutospacing="1" w:line="240" w:lineRule="auto"/>
              <w:ind w:left="284" w:right="57"/>
              <w:rPr>
                <w:rFonts w:cs="Arial"/>
                <w:szCs w:val="24"/>
              </w:rPr>
            </w:pPr>
            <w:r w:rsidRPr="002769FD">
              <w:rPr>
                <w:rFonts w:cs="Arial"/>
                <w:b/>
                <w:szCs w:val="24"/>
                <w:u w:val="single"/>
              </w:rPr>
              <w:t>Action 1</w:t>
            </w:r>
            <w:r w:rsidRPr="002769FD">
              <w:rPr>
                <w:rFonts w:cs="Arial"/>
                <w:b/>
                <w:szCs w:val="24"/>
              </w:rPr>
              <w:t> :</w:t>
            </w:r>
            <w:r w:rsidRPr="00AA7159">
              <w:rPr>
                <w:rFonts w:cs="Arial"/>
                <w:szCs w:val="24"/>
              </w:rPr>
              <w:t xml:space="preserve"> Renforcement des connaissances et des capacités sur l’intégration régionale</w:t>
            </w:r>
          </w:p>
          <w:p w14:paraId="08DEC143" w14:textId="77777777" w:rsidR="008018B7" w:rsidRPr="00AA7159" w:rsidRDefault="008018B7" w:rsidP="002769FD">
            <w:pPr>
              <w:tabs>
                <w:tab w:val="left" w:pos="950"/>
              </w:tabs>
              <w:spacing w:before="120" w:after="100" w:afterAutospacing="1" w:line="240" w:lineRule="auto"/>
              <w:ind w:left="284" w:right="57" w:firstLine="709"/>
              <w:rPr>
                <w:rFonts w:cs="Arial"/>
                <w:szCs w:val="24"/>
              </w:rPr>
            </w:pPr>
          </w:p>
        </w:tc>
        <w:tc>
          <w:tcPr>
            <w:tcW w:w="4536" w:type="dxa"/>
          </w:tcPr>
          <w:p w14:paraId="64A8E215" w14:textId="77777777" w:rsidR="008018B7" w:rsidRPr="00AA7159" w:rsidRDefault="008018B7" w:rsidP="002769FD">
            <w:pPr>
              <w:tabs>
                <w:tab w:val="left" w:pos="950"/>
              </w:tabs>
              <w:spacing w:before="120" w:after="100" w:afterAutospacing="1" w:line="240" w:lineRule="auto"/>
              <w:ind w:left="284" w:right="57"/>
              <w:rPr>
                <w:rFonts w:cs="Arial"/>
                <w:szCs w:val="24"/>
              </w:rPr>
            </w:pPr>
            <w:r w:rsidRPr="00AA7159">
              <w:rPr>
                <w:rFonts w:cs="Arial"/>
                <w:szCs w:val="24"/>
              </w:rPr>
              <w:t xml:space="preserve">Inscrire l’intégration régionale dans les curricula de formation et développer des modules sur cette thématique </w:t>
            </w:r>
          </w:p>
        </w:tc>
      </w:tr>
      <w:tr w:rsidR="003C0BEE" w:rsidRPr="00AA7159" w14:paraId="529A5C7D" w14:textId="77777777" w:rsidTr="003C0BEE">
        <w:tc>
          <w:tcPr>
            <w:tcW w:w="4536" w:type="dxa"/>
            <w:vMerge w:val="restart"/>
            <w:vAlign w:val="center"/>
          </w:tcPr>
          <w:p w14:paraId="21B8F656" w14:textId="77777777" w:rsidR="003C0BEE" w:rsidRPr="00AA7159" w:rsidRDefault="003C0BEE" w:rsidP="002769FD">
            <w:pPr>
              <w:tabs>
                <w:tab w:val="left" w:pos="950"/>
              </w:tabs>
              <w:spacing w:before="120" w:after="100" w:afterAutospacing="1" w:line="240" w:lineRule="auto"/>
              <w:ind w:left="284" w:right="57"/>
              <w:rPr>
                <w:rFonts w:cs="Arial"/>
                <w:szCs w:val="24"/>
              </w:rPr>
            </w:pPr>
            <w:r w:rsidRPr="002769FD">
              <w:rPr>
                <w:rFonts w:cs="Arial"/>
                <w:b/>
                <w:szCs w:val="24"/>
                <w:u w:val="single"/>
              </w:rPr>
              <w:t>Action 2 :</w:t>
            </w:r>
            <w:r w:rsidRPr="00AA7159">
              <w:rPr>
                <w:rFonts w:cs="Arial"/>
                <w:szCs w:val="24"/>
              </w:rPr>
              <w:t xml:space="preserve"> </w:t>
            </w:r>
            <w:r w:rsidRPr="00AA7159">
              <w:rPr>
                <w:rFonts w:cs="Arial"/>
                <w:color w:val="000000" w:themeColor="text1"/>
                <w:szCs w:val="24"/>
              </w:rPr>
              <w:t>Amélioration des conditions d’admission et d’apprentissage des étudiants sénégalais et étrangers dans le système d’enseignement supérieur </w:t>
            </w:r>
          </w:p>
        </w:tc>
        <w:tc>
          <w:tcPr>
            <w:tcW w:w="4536" w:type="dxa"/>
          </w:tcPr>
          <w:p w14:paraId="4FCEFBB0" w14:textId="77777777" w:rsidR="003C0BEE" w:rsidRPr="00AA7159" w:rsidRDefault="003C0BEE" w:rsidP="002769FD">
            <w:pPr>
              <w:tabs>
                <w:tab w:val="left" w:pos="950"/>
              </w:tabs>
              <w:spacing w:before="120" w:after="100" w:afterAutospacing="1" w:line="240" w:lineRule="auto"/>
              <w:ind w:left="284" w:right="57"/>
              <w:rPr>
                <w:rFonts w:cs="Arial"/>
                <w:szCs w:val="24"/>
              </w:rPr>
            </w:pPr>
            <w:r w:rsidRPr="00AA7159">
              <w:rPr>
                <w:rFonts w:cs="Arial"/>
                <w:szCs w:val="24"/>
              </w:rPr>
              <w:t>Renforcer les capacités d’intervention des Bureaux d’accueil, d’orientation et d’information (BAOI) des universités et centres de formation</w:t>
            </w:r>
          </w:p>
        </w:tc>
      </w:tr>
      <w:tr w:rsidR="003C0BEE" w:rsidRPr="00AA7159" w14:paraId="282E5E3C" w14:textId="77777777" w:rsidTr="008018B7">
        <w:tc>
          <w:tcPr>
            <w:tcW w:w="4536" w:type="dxa"/>
            <w:vMerge/>
          </w:tcPr>
          <w:p w14:paraId="06DB012E" w14:textId="77777777" w:rsidR="003C0BEE" w:rsidRPr="00AA7159" w:rsidRDefault="003C0BEE" w:rsidP="002769FD">
            <w:pPr>
              <w:pStyle w:val="Pardeliste"/>
              <w:tabs>
                <w:tab w:val="left" w:pos="950"/>
              </w:tabs>
              <w:spacing w:before="120" w:after="100" w:afterAutospacing="1" w:line="240" w:lineRule="auto"/>
              <w:ind w:left="284" w:right="57" w:firstLine="709"/>
              <w:rPr>
                <w:rFonts w:cs="Arial"/>
                <w:szCs w:val="24"/>
              </w:rPr>
            </w:pPr>
          </w:p>
        </w:tc>
        <w:tc>
          <w:tcPr>
            <w:tcW w:w="4536" w:type="dxa"/>
          </w:tcPr>
          <w:p w14:paraId="1AC8E60E" w14:textId="77777777" w:rsidR="003C0BEE" w:rsidRPr="00AA7159" w:rsidRDefault="003C0BEE" w:rsidP="002769FD">
            <w:pPr>
              <w:pStyle w:val="Pardeliste"/>
              <w:tabs>
                <w:tab w:val="left" w:pos="950"/>
              </w:tabs>
              <w:spacing w:before="120" w:after="100" w:afterAutospacing="1" w:line="240" w:lineRule="auto"/>
              <w:ind w:left="284" w:right="57"/>
              <w:rPr>
                <w:rFonts w:cs="Arial"/>
                <w:szCs w:val="24"/>
              </w:rPr>
            </w:pPr>
            <w:r w:rsidRPr="00AA7159">
              <w:rPr>
                <w:rFonts w:cs="Arial"/>
                <w:szCs w:val="24"/>
              </w:rPr>
              <w:t>Créer des centres d’excellences africains pour l’enseignement supérieur dans les différentes universités du Sénégal</w:t>
            </w:r>
          </w:p>
        </w:tc>
      </w:tr>
      <w:tr w:rsidR="003C0BEE" w:rsidRPr="00AA7159" w14:paraId="5C20DA59" w14:textId="77777777" w:rsidTr="008018B7">
        <w:tc>
          <w:tcPr>
            <w:tcW w:w="4536" w:type="dxa"/>
            <w:vMerge/>
          </w:tcPr>
          <w:p w14:paraId="15E1F1A6" w14:textId="77777777" w:rsidR="003C0BEE" w:rsidRPr="00AA7159" w:rsidRDefault="003C0BEE" w:rsidP="002769FD">
            <w:pPr>
              <w:pStyle w:val="Pardeliste"/>
              <w:tabs>
                <w:tab w:val="left" w:pos="950"/>
              </w:tabs>
              <w:spacing w:before="120" w:after="100" w:afterAutospacing="1" w:line="240" w:lineRule="auto"/>
              <w:ind w:left="284" w:right="57" w:firstLine="709"/>
              <w:rPr>
                <w:rFonts w:cs="Arial"/>
                <w:szCs w:val="24"/>
              </w:rPr>
            </w:pPr>
          </w:p>
        </w:tc>
        <w:tc>
          <w:tcPr>
            <w:tcW w:w="4536" w:type="dxa"/>
          </w:tcPr>
          <w:p w14:paraId="18003C95" w14:textId="77777777" w:rsidR="003C0BEE" w:rsidRPr="00AA7159" w:rsidRDefault="003C0BEE" w:rsidP="002769FD">
            <w:pPr>
              <w:pStyle w:val="Pardeliste"/>
              <w:tabs>
                <w:tab w:val="left" w:pos="950"/>
              </w:tabs>
              <w:spacing w:before="120" w:after="100" w:afterAutospacing="1" w:line="240" w:lineRule="auto"/>
              <w:ind w:left="284" w:right="57"/>
              <w:rPr>
                <w:rFonts w:cs="Arial"/>
                <w:szCs w:val="24"/>
              </w:rPr>
            </w:pPr>
            <w:r w:rsidRPr="00AA7159">
              <w:rPr>
                <w:rFonts w:cs="Arial"/>
                <w:szCs w:val="24"/>
              </w:rPr>
              <w:t>Renforcer les capacités techniques, matérielles et humaines des universités et centres de formation académiques</w:t>
            </w:r>
          </w:p>
        </w:tc>
      </w:tr>
      <w:tr w:rsidR="003C0BEE" w:rsidRPr="00AA7159" w14:paraId="1DB7A7F4" w14:textId="77777777" w:rsidTr="008018B7">
        <w:tc>
          <w:tcPr>
            <w:tcW w:w="4536" w:type="dxa"/>
            <w:vMerge/>
          </w:tcPr>
          <w:p w14:paraId="73656757" w14:textId="77777777" w:rsidR="003C0BEE" w:rsidRPr="00AA7159" w:rsidRDefault="003C0BEE" w:rsidP="002769FD">
            <w:pPr>
              <w:spacing w:before="120" w:after="100" w:afterAutospacing="1" w:line="240" w:lineRule="auto"/>
              <w:ind w:left="284" w:right="57" w:firstLine="709"/>
              <w:rPr>
                <w:rFonts w:cs="Arial"/>
                <w:szCs w:val="24"/>
              </w:rPr>
            </w:pPr>
          </w:p>
        </w:tc>
        <w:tc>
          <w:tcPr>
            <w:tcW w:w="4536" w:type="dxa"/>
          </w:tcPr>
          <w:p w14:paraId="143A5ABC" w14:textId="77777777" w:rsidR="003C0BEE" w:rsidRPr="00AA7159" w:rsidRDefault="003C0BEE" w:rsidP="002769FD">
            <w:pPr>
              <w:pStyle w:val="Pardeliste"/>
              <w:tabs>
                <w:tab w:val="left" w:pos="950"/>
              </w:tabs>
              <w:spacing w:before="120" w:after="100" w:afterAutospacing="1" w:line="240" w:lineRule="auto"/>
              <w:ind w:left="284" w:right="57"/>
              <w:rPr>
                <w:rFonts w:cs="Arial"/>
                <w:szCs w:val="24"/>
              </w:rPr>
            </w:pPr>
            <w:r w:rsidRPr="00AA7159">
              <w:rPr>
                <w:rFonts w:cs="Arial"/>
                <w:szCs w:val="24"/>
              </w:rPr>
              <w:t>Mettre en place le cadre national unifié des certifications englobant tous les secteurs unifiés de l’éducation et de la formation</w:t>
            </w:r>
          </w:p>
        </w:tc>
      </w:tr>
      <w:tr w:rsidR="003C0BEE" w:rsidRPr="00AA7159" w14:paraId="373BF0DE" w14:textId="77777777" w:rsidTr="003C0BEE">
        <w:trPr>
          <w:trHeight w:val="1119"/>
        </w:trPr>
        <w:tc>
          <w:tcPr>
            <w:tcW w:w="4536" w:type="dxa"/>
            <w:vMerge w:val="restart"/>
            <w:vAlign w:val="center"/>
          </w:tcPr>
          <w:p w14:paraId="54BC361B" w14:textId="6A75A546" w:rsidR="003C0BEE" w:rsidRPr="00AA7159" w:rsidRDefault="003C0BEE" w:rsidP="002769FD">
            <w:pPr>
              <w:spacing w:before="120" w:after="100" w:afterAutospacing="1" w:line="240" w:lineRule="auto"/>
              <w:ind w:left="284" w:right="57"/>
              <w:rPr>
                <w:rFonts w:cs="Arial"/>
                <w:szCs w:val="24"/>
              </w:rPr>
            </w:pPr>
            <w:r w:rsidRPr="002769FD">
              <w:rPr>
                <w:rFonts w:cs="Arial"/>
                <w:b/>
                <w:szCs w:val="24"/>
                <w:u w:val="single"/>
              </w:rPr>
              <w:t>Action 3 :</w:t>
            </w:r>
            <w:r w:rsidRPr="00AA7159">
              <w:rPr>
                <w:rFonts w:cs="Arial"/>
                <w:szCs w:val="24"/>
              </w:rPr>
              <w:t xml:space="preserve"> Amélioration des cadres de coopérations avec les universités africaines</w:t>
            </w:r>
          </w:p>
        </w:tc>
        <w:tc>
          <w:tcPr>
            <w:tcW w:w="4536" w:type="dxa"/>
          </w:tcPr>
          <w:p w14:paraId="53747F13" w14:textId="77777777" w:rsidR="003C0BEE" w:rsidRPr="00AA7159" w:rsidRDefault="003C0BEE" w:rsidP="002769FD">
            <w:pPr>
              <w:pStyle w:val="Pardeliste"/>
              <w:tabs>
                <w:tab w:val="left" w:pos="950"/>
              </w:tabs>
              <w:spacing w:before="120" w:after="100" w:afterAutospacing="1" w:line="240" w:lineRule="auto"/>
              <w:ind w:left="284" w:right="57"/>
              <w:rPr>
                <w:rFonts w:cs="Arial"/>
                <w:szCs w:val="24"/>
              </w:rPr>
            </w:pPr>
            <w:r w:rsidRPr="00AA7159">
              <w:rPr>
                <w:rFonts w:cs="Arial"/>
                <w:color w:val="000000" w:themeColor="text1"/>
                <w:szCs w:val="24"/>
              </w:rPr>
              <w:t xml:space="preserve">Signature de conventions avec les universités des pays africains pour le développement des échanges </w:t>
            </w:r>
          </w:p>
        </w:tc>
      </w:tr>
      <w:tr w:rsidR="003C0BEE" w:rsidRPr="00AA7159" w14:paraId="66D841B6" w14:textId="77777777" w:rsidTr="008018B7">
        <w:tc>
          <w:tcPr>
            <w:tcW w:w="4536" w:type="dxa"/>
            <w:vMerge/>
          </w:tcPr>
          <w:p w14:paraId="11943CE2" w14:textId="77777777" w:rsidR="003C0BEE" w:rsidRPr="00AA7159" w:rsidRDefault="003C0BEE" w:rsidP="002769FD">
            <w:pPr>
              <w:tabs>
                <w:tab w:val="left" w:pos="950"/>
              </w:tabs>
              <w:spacing w:before="120" w:after="100" w:afterAutospacing="1" w:line="240" w:lineRule="auto"/>
              <w:ind w:left="284" w:right="57" w:firstLine="709"/>
              <w:rPr>
                <w:rFonts w:cs="Arial"/>
                <w:szCs w:val="24"/>
              </w:rPr>
            </w:pPr>
          </w:p>
        </w:tc>
        <w:tc>
          <w:tcPr>
            <w:tcW w:w="4536" w:type="dxa"/>
          </w:tcPr>
          <w:p w14:paraId="7EF06178" w14:textId="77777777" w:rsidR="003C0BEE" w:rsidRPr="00AA7159" w:rsidRDefault="003C0BEE" w:rsidP="002769FD">
            <w:pPr>
              <w:pStyle w:val="Pardeliste"/>
              <w:tabs>
                <w:tab w:val="left" w:pos="950"/>
              </w:tabs>
              <w:spacing w:before="120" w:after="100" w:afterAutospacing="1" w:line="240" w:lineRule="auto"/>
              <w:ind w:left="284" w:right="57"/>
              <w:rPr>
                <w:rFonts w:cs="Arial"/>
                <w:szCs w:val="24"/>
              </w:rPr>
            </w:pPr>
            <w:r w:rsidRPr="00AA7159">
              <w:rPr>
                <w:rFonts w:cs="Arial"/>
                <w:color w:val="000000" w:themeColor="text1"/>
                <w:szCs w:val="24"/>
              </w:rPr>
              <w:t xml:space="preserve">Mise à disposition de bourses de mobilité pour les étudiants et chercheurs </w:t>
            </w:r>
          </w:p>
        </w:tc>
      </w:tr>
      <w:tr w:rsidR="003C0BEE" w:rsidRPr="00AA7159" w14:paraId="09EFD380" w14:textId="77777777" w:rsidTr="008018B7">
        <w:tc>
          <w:tcPr>
            <w:tcW w:w="4536" w:type="dxa"/>
            <w:vMerge/>
          </w:tcPr>
          <w:p w14:paraId="115DCC8B" w14:textId="77777777" w:rsidR="003C0BEE" w:rsidRPr="00AA7159" w:rsidRDefault="003C0BEE" w:rsidP="002769FD">
            <w:pPr>
              <w:tabs>
                <w:tab w:val="left" w:pos="950"/>
              </w:tabs>
              <w:spacing w:before="120" w:after="100" w:afterAutospacing="1" w:line="240" w:lineRule="auto"/>
              <w:ind w:left="284" w:right="57" w:firstLine="709"/>
              <w:rPr>
                <w:rFonts w:cs="Arial"/>
                <w:szCs w:val="24"/>
              </w:rPr>
            </w:pPr>
          </w:p>
        </w:tc>
        <w:tc>
          <w:tcPr>
            <w:tcW w:w="4536" w:type="dxa"/>
          </w:tcPr>
          <w:p w14:paraId="567CB9C6" w14:textId="77777777" w:rsidR="003C0BEE" w:rsidRPr="00AA7159" w:rsidRDefault="003C0BEE" w:rsidP="002769FD">
            <w:pPr>
              <w:pStyle w:val="Pardeliste"/>
              <w:tabs>
                <w:tab w:val="left" w:pos="950"/>
              </w:tabs>
              <w:spacing w:before="120" w:after="100" w:afterAutospacing="1" w:line="240" w:lineRule="auto"/>
              <w:ind w:left="284" w:right="57"/>
              <w:rPr>
                <w:rFonts w:cs="Arial"/>
                <w:color w:val="000000" w:themeColor="text1"/>
                <w:szCs w:val="24"/>
              </w:rPr>
            </w:pPr>
            <w:r w:rsidRPr="00AA7159">
              <w:rPr>
                <w:rFonts w:cs="Arial"/>
                <w:color w:val="000000" w:themeColor="text1"/>
                <w:szCs w:val="24"/>
              </w:rPr>
              <w:t>Participer aux programmes de recherches universitaires mis en place par les organisations communautaires</w:t>
            </w:r>
          </w:p>
        </w:tc>
      </w:tr>
      <w:tr w:rsidR="008018B7" w:rsidRPr="00AA7159" w14:paraId="6FA6AC72" w14:textId="77777777" w:rsidTr="002769FD">
        <w:trPr>
          <w:trHeight w:val="1203"/>
        </w:trPr>
        <w:tc>
          <w:tcPr>
            <w:tcW w:w="4536" w:type="dxa"/>
          </w:tcPr>
          <w:p w14:paraId="78B12277" w14:textId="1EBF17A0" w:rsidR="008018B7" w:rsidRPr="00AA7159" w:rsidRDefault="008018B7" w:rsidP="002769FD">
            <w:pPr>
              <w:spacing w:before="120" w:after="100" w:afterAutospacing="1" w:line="240" w:lineRule="auto"/>
              <w:ind w:left="284" w:right="57"/>
              <w:rPr>
                <w:rFonts w:cs="Arial"/>
                <w:szCs w:val="24"/>
              </w:rPr>
            </w:pPr>
            <w:r w:rsidRPr="002769FD">
              <w:rPr>
                <w:rFonts w:cs="Arial"/>
                <w:b/>
                <w:szCs w:val="24"/>
                <w:u w:val="single"/>
              </w:rPr>
              <w:t>Action 4 :</w:t>
            </w:r>
            <w:r w:rsidRPr="00AA7159">
              <w:rPr>
                <w:rFonts w:cs="Arial"/>
                <w:szCs w:val="24"/>
              </w:rPr>
              <w:t xml:space="preserve"> Facilitation de la libre circulation et de l’établissement des professions libérales</w:t>
            </w:r>
          </w:p>
        </w:tc>
        <w:tc>
          <w:tcPr>
            <w:tcW w:w="4536" w:type="dxa"/>
          </w:tcPr>
          <w:p w14:paraId="3E842C5C" w14:textId="77777777" w:rsidR="008018B7" w:rsidRPr="00AA7159" w:rsidRDefault="008018B7" w:rsidP="002769FD">
            <w:pPr>
              <w:pStyle w:val="Pardeliste"/>
              <w:tabs>
                <w:tab w:val="left" w:pos="950"/>
              </w:tabs>
              <w:spacing w:before="120" w:after="100" w:afterAutospacing="1" w:line="240" w:lineRule="auto"/>
              <w:ind w:left="284" w:right="57"/>
              <w:rPr>
                <w:rFonts w:cs="Arial"/>
                <w:szCs w:val="24"/>
              </w:rPr>
            </w:pPr>
            <w:r w:rsidRPr="00AA7159">
              <w:rPr>
                <w:rFonts w:cs="Arial"/>
                <w:szCs w:val="24"/>
              </w:rPr>
              <w:t>Appliquer le cadre juridique communautaire relatif à la libre circulation et l’établissement des professions libérales</w:t>
            </w:r>
          </w:p>
        </w:tc>
      </w:tr>
    </w:tbl>
    <w:p w14:paraId="36231E5A" w14:textId="77777777" w:rsidR="002769FD" w:rsidRDefault="002769FD" w:rsidP="008018B7">
      <w:pPr>
        <w:spacing w:before="120" w:after="100" w:afterAutospacing="1"/>
        <w:ind w:left="284" w:right="57" w:firstLine="709"/>
        <w:rPr>
          <w:rFonts w:cs="Arial"/>
          <w:b/>
          <w:bCs/>
          <w:color w:val="ED7D31" w:themeColor="accent2"/>
          <w:szCs w:val="24"/>
        </w:rPr>
      </w:pPr>
    </w:p>
    <w:p w14:paraId="2B1E3D3D" w14:textId="77777777" w:rsidR="002769FD" w:rsidRDefault="002769FD">
      <w:pPr>
        <w:spacing w:after="160" w:line="259" w:lineRule="auto"/>
        <w:jc w:val="left"/>
        <w:rPr>
          <w:rFonts w:cs="Arial"/>
          <w:b/>
          <w:bCs/>
          <w:color w:val="ED7D31" w:themeColor="accent2"/>
          <w:szCs w:val="24"/>
        </w:rPr>
      </w:pPr>
      <w:r>
        <w:rPr>
          <w:rFonts w:cs="Arial"/>
          <w:b/>
          <w:bCs/>
          <w:color w:val="ED7D31" w:themeColor="accent2"/>
          <w:szCs w:val="24"/>
        </w:rPr>
        <w:br w:type="page"/>
      </w:r>
    </w:p>
    <w:p w14:paraId="0E712E46" w14:textId="7C502EBF" w:rsidR="008018B7" w:rsidRPr="002769FD" w:rsidRDefault="008018B7" w:rsidP="002769FD">
      <w:pPr>
        <w:shd w:val="clear" w:color="auto" w:fill="833C0B" w:themeFill="accent2" w:themeFillShade="80"/>
        <w:spacing w:before="120" w:after="100" w:afterAutospacing="1"/>
        <w:ind w:right="57"/>
        <w:jc w:val="center"/>
        <w:rPr>
          <w:rFonts w:cs="Arial"/>
          <w:b/>
          <w:bCs/>
          <w:color w:val="FFFFFF" w:themeColor="background1"/>
          <w:sz w:val="28"/>
          <w:szCs w:val="28"/>
          <w:shd w:val="clear" w:color="auto" w:fill="833C0B" w:themeFill="accent2" w:themeFillShade="80"/>
        </w:rPr>
      </w:pPr>
      <w:r w:rsidRPr="002769FD">
        <w:rPr>
          <w:rFonts w:cs="Arial"/>
          <w:b/>
          <w:bCs/>
          <w:color w:val="FFFFFF" w:themeColor="background1"/>
          <w:sz w:val="28"/>
          <w:szCs w:val="28"/>
          <w:shd w:val="clear" w:color="auto" w:fill="833C0B" w:themeFill="accent2" w:themeFillShade="80"/>
        </w:rPr>
        <w:lastRenderedPageBreak/>
        <w:t>Axe 2 : Compétitivité et développement inclusif</w:t>
      </w:r>
    </w:p>
    <w:p w14:paraId="2708F9B7" w14:textId="77777777" w:rsidR="008018B7" w:rsidRPr="00AA7159" w:rsidRDefault="008018B7" w:rsidP="002769FD">
      <w:pPr>
        <w:spacing w:before="120" w:after="100" w:afterAutospacing="1"/>
        <w:ind w:left="284" w:right="57"/>
        <w:rPr>
          <w:rFonts w:cs="Arial"/>
          <w:b/>
          <w:bCs/>
          <w:szCs w:val="24"/>
        </w:rPr>
      </w:pPr>
      <w:r w:rsidRPr="002769FD">
        <w:rPr>
          <w:rFonts w:cs="Arial"/>
          <w:b/>
          <w:bCs/>
          <w:sz w:val="28"/>
          <w:szCs w:val="28"/>
          <w:u w:val="single"/>
        </w:rPr>
        <w:t>OS 1</w:t>
      </w:r>
      <w:r w:rsidRPr="002769FD">
        <w:rPr>
          <w:rFonts w:cs="Arial"/>
          <w:b/>
          <w:bCs/>
          <w:sz w:val="28"/>
          <w:szCs w:val="28"/>
        </w:rPr>
        <w:t> :</w:t>
      </w:r>
      <w:r w:rsidRPr="00AA7159">
        <w:rPr>
          <w:rFonts w:cs="Arial"/>
          <w:b/>
          <w:bCs/>
          <w:szCs w:val="24"/>
        </w:rPr>
        <w:t xml:space="preserve"> Améliorer la participation du Secteur privé dans le processus d’intégration régionale </w:t>
      </w:r>
    </w:p>
    <w:tbl>
      <w:tblPr>
        <w:tblStyle w:val="Grilledutableau"/>
        <w:tblW w:w="0" w:type="auto"/>
        <w:tblLook w:val="04A0" w:firstRow="1" w:lastRow="0" w:firstColumn="1" w:lastColumn="0" w:noHBand="0" w:noVBand="1"/>
      </w:tblPr>
      <w:tblGrid>
        <w:gridCol w:w="4530"/>
        <w:gridCol w:w="4530"/>
      </w:tblGrid>
      <w:tr w:rsidR="008018B7" w:rsidRPr="00AA7159" w14:paraId="2977C56F" w14:textId="77777777" w:rsidTr="00B40CC1">
        <w:trPr>
          <w:trHeight w:val="555"/>
        </w:trPr>
        <w:tc>
          <w:tcPr>
            <w:tcW w:w="4530" w:type="dxa"/>
            <w:shd w:val="clear" w:color="auto" w:fill="E2EFD9" w:themeFill="accent6" w:themeFillTint="33"/>
          </w:tcPr>
          <w:p w14:paraId="243353CD" w14:textId="1A073097" w:rsidR="008018B7" w:rsidRPr="00CB5664" w:rsidRDefault="00CB5664" w:rsidP="00615816">
            <w:pPr>
              <w:tabs>
                <w:tab w:val="left" w:pos="950"/>
              </w:tabs>
              <w:spacing w:before="120" w:after="100" w:afterAutospacing="1" w:line="240" w:lineRule="auto"/>
              <w:ind w:right="57"/>
              <w:jc w:val="center"/>
              <w:rPr>
                <w:rFonts w:cs="Arial"/>
                <w:b/>
                <w:bCs/>
                <w:sz w:val="28"/>
                <w:szCs w:val="28"/>
              </w:rPr>
            </w:pPr>
            <w:r w:rsidRPr="00CB5664">
              <w:rPr>
                <w:rFonts w:cs="Arial"/>
                <w:b/>
                <w:bCs/>
                <w:sz w:val="28"/>
                <w:szCs w:val="28"/>
              </w:rPr>
              <w:t>ACTIONS</w:t>
            </w:r>
          </w:p>
        </w:tc>
        <w:tc>
          <w:tcPr>
            <w:tcW w:w="4530" w:type="dxa"/>
            <w:shd w:val="clear" w:color="auto" w:fill="E2EFD9" w:themeFill="accent6" w:themeFillTint="33"/>
          </w:tcPr>
          <w:p w14:paraId="6022933F" w14:textId="445638B9" w:rsidR="008018B7" w:rsidRPr="00CB5664" w:rsidRDefault="00CB5664" w:rsidP="00615816">
            <w:pPr>
              <w:tabs>
                <w:tab w:val="left" w:pos="950"/>
              </w:tabs>
              <w:spacing w:before="120" w:after="100" w:afterAutospacing="1" w:line="240" w:lineRule="auto"/>
              <w:ind w:left="284" w:right="57" w:firstLine="709"/>
              <w:rPr>
                <w:rFonts w:cs="Arial"/>
                <w:b/>
                <w:bCs/>
                <w:sz w:val="28"/>
                <w:szCs w:val="28"/>
              </w:rPr>
            </w:pPr>
            <w:r w:rsidRPr="00CB5664">
              <w:rPr>
                <w:rFonts w:cs="Arial"/>
                <w:b/>
                <w:bCs/>
                <w:sz w:val="28"/>
                <w:szCs w:val="28"/>
              </w:rPr>
              <w:t>ACTIVITES</w:t>
            </w:r>
          </w:p>
        </w:tc>
      </w:tr>
      <w:tr w:rsidR="003C0BEE" w:rsidRPr="00AA7159" w14:paraId="40116990" w14:textId="77777777" w:rsidTr="003C0BEE">
        <w:tc>
          <w:tcPr>
            <w:tcW w:w="4530" w:type="dxa"/>
            <w:vMerge w:val="restart"/>
            <w:vAlign w:val="center"/>
          </w:tcPr>
          <w:p w14:paraId="72DDFC3A" w14:textId="77777777" w:rsidR="003C0BEE" w:rsidRPr="0023292F" w:rsidRDefault="003C0BEE" w:rsidP="003C0BEE">
            <w:pPr>
              <w:spacing w:before="120" w:after="100" w:afterAutospacing="1" w:line="240" w:lineRule="auto"/>
              <w:ind w:left="284" w:right="57"/>
              <w:rPr>
                <w:rFonts w:cs="Arial"/>
                <w:sz w:val="22"/>
              </w:rPr>
            </w:pPr>
            <w:r w:rsidRPr="0023292F">
              <w:rPr>
                <w:rFonts w:cs="Arial"/>
                <w:b/>
                <w:sz w:val="22"/>
                <w:u w:val="single"/>
              </w:rPr>
              <w:t>Action 1</w:t>
            </w:r>
            <w:r w:rsidRPr="0023292F">
              <w:rPr>
                <w:rFonts w:cs="Arial"/>
                <w:b/>
                <w:sz w:val="22"/>
              </w:rPr>
              <w:t> :</w:t>
            </w:r>
            <w:r w:rsidRPr="0023292F">
              <w:rPr>
                <w:rFonts w:cs="Arial"/>
                <w:sz w:val="22"/>
              </w:rPr>
              <w:t xml:space="preserve"> Amélioration de l’environnement des affaires dans un sens favorable à l’intégration régionale</w:t>
            </w:r>
          </w:p>
        </w:tc>
        <w:tc>
          <w:tcPr>
            <w:tcW w:w="4530" w:type="dxa"/>
          </w:tcPr>
          <w:p w14:paraId="49223328" w14:textId="4FDE8AFE" w:rsidR="003C0BEE" w:rsidRPr="0023292F" w:rsidRDefault="003C0BEE" w:rsidP="003C0BEE">
            <w:pPr>
              <w:tabs>
                <w:tab w:val="left" w:pos="950"/>
              </w:tabs>
              <w:spacing w:before="120" w:after="100" w:afterAutospacing="1" w:line="240" w:lineRule="auto"/>
              <w:ind w:left="284" w:right="57"/>
              <w:rPr>
                <w:rFonts w:cs="Arial"/>
                <w:sz w:val="22"/>
              </w:rPr>
            </w:pPr>
            <w:r w:rsidRPr="00913D81">
              <w:rPr>
                <w:rFonts w:cs="Arial"/>
                <w:szCs w:val="24"/>
              </w:rPr>
              <w:t>Adapter les codes nationaux (investissements, mines, pétrole et gaz, etc.) du Sénégal aux dispositions communautaires y afférentes.</w:t>
            </w:r>
          </w:p>
        </w:tc>
      </w:tr>
      <w:tr w:rsidR="003C0BEE" w:rsidRPr="00AA7159" w14:paraId="78DDEC1B" w14:textId="77777777" w:rsidTr="00CB5664">
        <w:tc>
          <w:tcPr>
            <w:tcW w:w="4530" w:type="dxa"/>
            <w:vMerge/>
          </w:tcPr>
          <w:p w14:paraId="770B7F98" w14:textId="77777777" w:rsidR="003C0BEE" w:rsidRPr="0023292F" w:rsidRDefault="003C0BEE" w:rsidP="003C0BEE">
            <w:pPr>
              <w:tabs>
                <w:tab w:val="left" w:pos="950"/>
              </w:tabs>
              <w:spacing w:before="120" w:after="100" w:afterAutospacing="1" w:line="240" w:lineRule="auto"/>
              <w:ind w:left="284" w:right="57" w:firstLine="709"/>
              <w:rPr>
                <w:rFonts w:cs="Arial"/>
                <w:b/>
                <w:bCs/>
                <w:sz w:val="22"/>
              </w:rPr>
            </w:pPr>
          </w:p>
        </w:tc>
        <w:tc>
          <w:tcPr>
            <w:tcW w:w="4530" w:type="dxa"/>
          </w:tcPr>
          <w:p w14:paraId="0F2AD299" w14:textId="045B5587" w:rsidR="003C0BEE" w:rsidRPr="0023292F" w:rsidRDefault="003C0BEE" w:rsidP="003C0BEE">
            <w:pPr>
              <w:tabs>
                <w:tab w:val="left" w:pos="950"/>
              </w:tabs>
              <w:spacing w:before="120" w:after="100" w:afterAutospacing="1" w:line="240" w:lineRule="auto"/>
              <w:ind w:left="284" w:right="57"/>
              <w:rPr>
                <w:rFonts w:cs="Arial"/>
                <w:sz w:val="22"/>
              </w:rPr>
            </w:pPr>
            <w:r w:rsidRPr="00913D81">
              <w:rPr>
                <w:rFonts w:cs="Arial"/>
                <w:szCs w:val="24"/>
              </w:rPr>
              <w:t xml:space="preserve">Renforcer la coopération (ou créer un cadre de partenariat) entre le secteur privé national et le secteur privé des autres pays de l’espace régional </w:t>
            </w:r>
          </w:p>
        </w:tc>
      </w:tr>
      <w:tr w:rsidR="003C0BEE" w:rsidRPr="00AA7159" w14:paraId="31AFEDCF" w14:textId="77777777" w:rsidTr="00CB5664">
        <w:tc>
          <w:tcPr>
            <w:tcW w:w="4530" w:type="dxa"/>
            <w:vMerge/>
          </w:tcPr>
          <w:p w14:paraId="74B7AE4F" w14:textId="77777777" w:rsidR="003C0BEE" w:rsidRPr="0023292F" w:rsidRDefault="003C0BEE" w:rsidP="003C0BEE">
            <w:pPr>
              <w:tabs>
                <w:tab w:val="left" w:pos="950"/>
              </w:tabs>
              <w:spacing w:before="120" w:after="100" w:afterAutospacing="1" w:line="240" w:lineRule="auto"/>
              <w:ind w:left="284" w:right="57" w:firstLine="709"/>
              <w:rPr>
                <w:rFonts w:cs="Arial"/>
                <w:b/>
                <w:bCs/>
                <w:sz w:val="22"/>
              </w:rPr>
            </w:pPr>
          </w:p>
        </w:tc>
        <w:tc>
          <w:tcPr>
            <w:tcW w:w="4530" w:type="dxa"/>
          </w:tcPr>
          <w:p w14:paraId="45A6F91F" w14:textId="1EA28A53" w:rsidR="003C0BEE" w:rsidRPr="0023292F" w:rsidRDefault="003C0BEE" w:rsidP="003C0BEE">
            <w:pPr>
              <w:tabs>
                <w:tab w:val="left" w:pos="950"/>
              </w:tabs>
              <w:spacing w:before="120" w:after="100" w:afterAutospacing="1" w:line="240" w:lineRule="auto"/>
              <w:ind w:left="284" w:right="57"/>
              <w:rPr>
                <w:rFonts w:cs="Arial"/>
                <w:sz w:val="22"/>
              </w:rPr>
            </w:pPr>
            <w:r w:rsidRPr="00913D81">
              <w:rPr>
                <w:rFonts w:cs="Arial"/>
                <w:szCs w:val="24"/>
              </w:rPr>
              <w:t>Mettre en place un guichet unique pour la simplification des procédures</w:t>
            </w:r>
          </w:p>
        </w:tc>
      </w:tr>
      <w:tr w:rsidR="003C0BEE" w:rsidRPr="00AA7159" w14:paraId="19B4FF14" w14:textId="77777777" w:rsidTr="00CB5664">
        <w:tc>
          <w:tcPr>
            <w:tcW w:w="4530" w:type="dxa"/>
            <w:vMerge/>
          </w:tcPr>
          <w:p w14:paraId="4542E5FB"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327DA879" w14:textId="36852EC9" w:rsidR="003C0BEE" w:rsidRPr="0023292F" w:rsidRDefault="003C0BEE" w:rsidP="003C0BEE">
            <w:pPr>
              <w:tabs>
                <w:tab w:val="left" w:pos="950"/>
              </w:tabs>
              <w:spacing w:before="120" w:after="100" w:afterAutospacing="1" w:line="240" w:lineRule="auto"/>
              <w:ind w:left="319" w:right="57"/>
              <w:rPr>
                <w:rFonts w:cs="Arial"/>
                <w:sz w:val="22"/>
              </w:rPr>
            </w:pPr>
            <w:r w:rsidRPr="00913D81">
              <w:rPr>
                <w:rFonts w:cs="Arial"/>
                <w:szCs w:val="24"/>
              </w:rPr>
              <w:t>Réduire les coûts de transactions</w:t>
            </w:r>
          </w:p>
        </w:tc>
      </w:tr>
      <w:tr w:rsidR="003C0BEE" w:rsidRPr="00AA7159" w14:paraId="2309F1D0" w14:textId="77777777" w:rsidTr="00CB5664">
        <w:tc>
          <w:tcPr>
            <w:tcW w:w="4530" w:type="dxa"/>
            <w:vMerge/>
          </w:tcPr>
          <w:p w14:paraId="4FAA62EE"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56A214EF" w14:textId="4B2741DD" w:rsidR="003C0BEE" w:rsidRPr="0023292F" w:rsidRDefault="003C0BEE" w:rsidP="003C0BEE">
            <w:pPr>
              <w:tabs>
                <w:tab w:val="left" w:pos="950"/>
              </w:tabs>
              <w:spacing w:before="120" w:after="100" w:afterAutospacing="1" w:line="240" w:lineRule="auto"/>
              <w:ind w:left="284" w:right="57"/>
              <w:rPr>
                <w:rFonts w:cs="Arial"/>
                <w:sz w:val="22"/>
              </w:rPr>
            </w:pPr>
            <w:r w:rsidRPr="00913D81">
              <w:rPr>
                <w:rFonts w:cs="Arial"/>
                <w:szCs w:val="24"/>
              </w:rPr>
              <w:t>Mettre en place un fonds de préparation des projets pour faciliter la participation du secteur privé au développement des PPP </w:t>
            </w:r>
          </w:p>
        </w:tc>
      </w:tr>
      <w:tr w:rsidR="003C0BEE" w:rsidRPr="00AA7159" w14:paraId="6038758E" w14:textId="77777777" w:rsidTr="003C0BEE">
        <w:tc>
          <w:tcPr>
            <w:tcW w:w="4530" w:type="dxa"/>
            <w:vMerge w:val="restart"/>
            <w:vAlign w:val="center"/>
          </w:tcPr>
          <w:p w14:paraId="4F5FB5A5" w14:textId="77777777" w:rsidR="003C0BEE" w:rsidRPr="0023292F" w:rsidRDefault="003C0BEE" w:rsidP="003C0BEE">
            <w:pPr>
              <w:spacing w:before="120" w:after="100" w:afterAutospacing="1" w:line="240" w:lineRule="auto"/>
              <w:ind w:left="284" w:right="57"/>
              <w:rPr>
                <w:rFonts w:cs="Arial"/>
                <w:sz w:val="22"/>
              </w:rPr>
            </w:pPr>
            <w:r w:rsidRPr="0023292F">
              <w:rPr>
                <w:rFonts w:cs="Arial"/>
                <w:b/>
                <w:sz w:val="22"/>
                <w:u w:val="single"/>
              </w:rPr>
              <w:t>Action 2</w:t>
            </w:r>
            <w:r w:rsidRPr="0023292F">
              <w:rPr>
                <w:rFonts w:cs="Arial"/>
                <w:b/>
                <w:sz w:val="22"/>
              </w:rPr>
              <w:t> :</w:t>
            </w:r>
            <w:r w:rsidRPr="0023292F">
              <w:rPr>
                <w:rFonts w:cs="Arial"/>
                <w:sz w:val="22"/>
              </w:rPr>
              <w:t xml:space="preserve"> Renforcement de la compétitivité des PME et PMI</w:t>
            </w:r>
          </w:p>
          <w:p w14:paraId="25C866D7" w14:textId="77777777" w:rsidR="003C0BEE" w:rsidRPr="0023292F" w:rsidRDefault="003C0BEE" w:rsidP="003C0BEE">
            <w:pPr>
              <w:tabs>
                <w:tab w:val="left" w:pos="950"/>
              </w:tabs>
              <w:spacing w:before="120" w:after="100" w:afterAutospacing="1" w:line="240" w:lineRule="auto"/>
              <w:ind w:left="284" w:right="57" w:firstLine="709"/>
              <w:rPr>
                <w:rFonts w:cs="Arial"/>
                <w:b/>
                <w:bCs/>
                <w:sz w:val="22"/>
              </w:rPr>
            </w:pPr>
          </w:p>
        </w:tc>
        <w:tc>
          <w:tcPr>
            <w:tcW w:w="4530" w:type="dxa"/>
          </w:tcPr>
          <w:p w14:paraId="141E0F2A" w14:textId="6FDA889F" w:rsidR="003C0BEE" w:rsidRPr="0023292F" w:rsidRDefault="003C0BEE" w:rsidP="003C0BEE">
            <w:pPr>
              <w:tabs>
                <w:tab w:val="left" w:pos="950"/>
              </w:tabs>
              <w:spacing w:before="120" w:after="100" w:afterAutospacing="1" w:line="240" w:lineRule="auto"/>
              <w:ind w:left="284" w:right="57"/>
              <w:rPr>
                <w:rFonts w:cs="Arial"/>
                <w:sz w:val="22"/>
              </w:rPr>
            </w:pPr>
            <w:r w:rsidRPr="00913D81">
              <w:rPr>
                <w:rFonts w:cs="Arial"/>
                <w:szCs w:val="24"/>
              </w:rPr>
              <w:t>Mettre en œuvre les dispositions communautaires relatives à la normalisation et à la métrologie</w:t>
            </w:r>
          </w:p>
        </w:tc>
      </w:tr>
      <w:tr w:rsidR="003C0BEE" w:rsidRPr="00AA7159" w14:paraId="064A4E9E" w14:textId="77777777" w:rsidTr="00CB5664">
        <w:tc>
          <w:tcPr>
            <w:tcW w:w="4530" w:type="dxa"/>
            <w:vMerge/>
          </w:tcPr>
          <w:p w14:paraId="7102A45F"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0D68BDE9" w14:textId="0ECD50E5" w:rsidR="003C0BEE" w:rsidRPr="0023292F" w:rsidRDefault="003C0BEE" w:rsidP="003C0BEE">
            <w:pPr>
              <w:tabs>
                <w:tab w:val="left" w:pos="950"/>
              </w:tabs>
              <w:spacing w:before="120" w:after="100" w:afterAutospacing="1" w:line="240" w:lineRule="auto"/>
              <w:ind w:left="284" w:right="57"/>
              <w:rPr>
                <w:rFonts w:cs="Arial"/>
                <w:sz w:val="22"/>
              </w:rPr>
            </w:pPr>
            <w:r w:rsidRPr="00913D81">
              <w:rPr>
                <w:rFonts w:cs="Arial"/>
                <w:szCs w:val="24"/>
              </w:rPr>
              <w:t>Renforcer la mise à niveau des PME/PMI</w:t>
            </w:r>
          </w:p>
        </w:tc>
      </w:tr>
      <w:tr w:rsidR="003C0BEE" w:rsidRPr="00AA7159" w14:paraId="598D2B8E" w14:textId="77777777" w:rsidTr="00CB5664">
        <w:tc>
          <w:tcPr>
            <w:tcW w:w="4530" w:type="dxa"/>
            <w:vMerge/>
          </w:tcPr>
          <w:p w14:paraId="6BB6B500"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5B4AA447" w14:textId="5BDCB5D9" w:rsidR="003C0BEE" w:rsidRPr="0023292F" w:rsidRDefault="003C0BEE" w:rsidP="003C0BEE">
            <w:pPr>
              <w:tabs>
                <w:tab w:val="left" w:pos="950"/>
              </w:tabs>
              <w:spacing w:before="120" w:after="100" w:afterAutospacing="1" w:line="240" w:lineRule="auto"/>
              <w:ind w:left="284" w:right="57"/>
              <w:rPr>
                <w:rFonts w:cs="Arial"/>
                <w:sz w:val="22"/>
              </w:rPr>
            </w:pPr>
            <w:r w:rsidRPr="00913D81">
              <w:rPr>
                <w:rFonts w:cs="Arial"/>
                <w:szCs w:val="24"/>
              </w:rPr>
              <w:t>Sensibiliser les entreprises sur les mécanismes et instruments régionaux de financement</w:t>
            </w:r>
          </w:p>
        </w:tc>
      </w:tr>
      <w:tr w:rsidR="003C0BEE" w:rsidRPr="00AA7159" w14:paraId="293AF7A1" w14:textId="77777777" w:rsidTr="003C0BEE">
        <w:trPr>
          <w:trHeight w:val="862"/>
        </w:trPr>
        <w:tc>
          <w:tcPr>
            <w:tcW w:w="4530" w:type="dxa"/>
            <w:vMerge w:val="restart"/>
            <w:vAlign w:val="center"/>
          </w:tcPr>
          <w:p w14:paraId="28A51D3E" w14:textId="7B0CB924" w:rsidR="003C0BEE" w:rsidRPr="0023292F" w:rsidRDefault="003C0BEE" w:rsidP="003C0BEE">
            <w:pPr>
              <w:spacing w:before="120" w:after="100" w:afterAutospacing="1" w:line="240" w:lineRule="auto"/>
              <w:ind w:left="284" w:right="57"/>
              <w:rPr>
                <w:rFonts w:cs="Arial"/>
                <w:sz w:val="22"/>
              </w:rPr>
            </w:pPr>
            <w:r w:rsidRPr="0023292F">
              <w:rPr>
                <w:rFonts w:cs="Arial"/>
                <w:b/>
                <w:sz w:val="22"/>
                <w:u w:val="single"/>
              </w:rPr>
              <w:t>Action 3</w:t>
            </w:r>
            <w:r w:rsidRPr="0023292F">
              <w:rPr>
                <w:rFonts w:cs="Arial"/>
                <w:b/>
                <w:sz w:val="22"/>
              </w:rPr>
              <w:t> :</w:t>
            </w:r>
            <w:r w:rsidRPr="0023292F">
              <w:rPr>
                <w:rFonts w:cs="Arial"/>
                <w:sz w:val="22"/>
              </w:rPr>
              <w:t xml:space="preserve"> Mise en place d’un dispositif de veille économique sur l’intégration régionale (portail, études, bulletin et forum sur l’intégration régionale)</w:t>
            </w:r>
          </w:p>
        </w:tc>
        <w:tc>
          <w:tcPr>
            <w:tcW w:w="4530" w:type="dxa"/>
          </w:tcPr>
          <w:p w14:paraId="615F89EB" w14:textId="687F4B41" w:rsidR="003C0BEE" w:rsidRPr="0023292F" w:rsidRDefault="003C0BEE" w:rsidP="003C0BEE">
            <w:pPr>
              <w:tabs>
                <w:tab w:val="left" w:pos="950"/>
              </w:tabs>
              <w:spacing w:before="120" w:after="100" w:afterAutospacing="1" w:line="240" w:lineRule="auto"/>
              <w:ind w:left="284" w:right="57"/>
              <w:rPr>
                <w:rFonts w:cs="Arial"/>
                <w:sz w:val="22"/>
              </w:rPr>
            </w:pPr>
            <w:r w:rsidRPr="00913D81">
              <w:rPr>
                <w:rFonts w:cs="Arial"/>
                <w:szCs w:val="24"/>
              </w:rPr>
              <w:t>Créer et rendre opérationnel le portail d’information économique et commerciale régionale</w:t>
            </w:r>
            <w:r w:rsidRPr="00913D81">
              <w:rPr>
                <w:rFonts w:cs="Arial"/>
                <w:szCs w:val="24"/>
              </w:rPr>
              <w:tab/>
            </w:r>
          </w:p>
        </w:tc>
      </w:tr>
      <w:tr w:rsidR="003C0BEE" w:rsidRPr="00AA7159" w14:paraId="71235516" w14:textId="77777777" w:rsidTr="00CB5664">
        <w:tc>
          <w:tcPr>
            <w:tcW w:w="4530" w:type="dxa"/>
            <w:vMerge/>
          </w:tcPr>
          <w:p w14:paraId="563AAD9C"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24231683" w14:textId="4C917DD3" w:rsidR="003C0BEE" w:rsidRPr="0023292F" w:rsidRDefault="003C0BEE" w:rsidP="003C0BEE">
            <w:pPr>
              <w:tabs>
                <w:tab w:val="left" w:pos="950"/>
              </w:tabs>
              <w:spacing w:before="120" w:after="100" w:afterAutospacing="1" w:line="240" w:lineRule="auto"/>
              <w:ind w:left="284" w:right="57"/>
              <w:rPr>
                <w:rFonts w:cs="Arial"/>
                <w:sz w:val="22"/>
              </w:rPr>
            </w:pPr>
            <w:r w:rsidRPr="00913D81">
              <w:rPr>
                <w:rFonts w:cs="Arial"/>
                <w:szCs w:val="24"/>
              </w:rPr>
              <w:t>Organiser régulièrement le forum sur l’intégration régionale</w:t>
            </w:r>
          </w:p>
        </w:tc>
      </w:tr>
      <w:tr w:rsidR="003C0BEE" w:rsidRPr="00AA7159" w14:paraId="40D5785A" w14:textId="77777777" w:rsidTr="00CB5664">
        <w:tc>
          <w:tcPr>
            <w:tcW w:w="4530" w:type="dxa"/>
            <w:vMerge/>
          </w:tcPr>
          <w:p w14:paraId="7384215A"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2F007D58" w14:textId="5D7BFD60" w:rsidR="003C0BEE" w:rsidRPr="0023292F" w:rsidRDefault="003C0BEE" w:rsidP="003C0BEE">
            <w:pPr>
              <w:tabs>
                <w:tab w:val="left" w:pos="950"/>
              </w:tabs>
              <w:spacing w:before="120" w:after="100" w:afterAutospacing="1" w:line="240" w:lineRule="auto"/>
              <w:ind w:left="284" w:right="57"/>
              <w:rPr>
                <w:rFonts w:cs="Arial"/>
                <w:sz w:val="22"/>
              </w:rPr>
            </w:pPr>
            <w:r w:rsidRPr="00913D81">
              <w:rPr>
                <w:rFonts w:cs="Arial"/>
                <w:szCs w:val="24"/>
              </w:rPr>
              <w:t>Réaliser les études sur les thématiques d’intégration régionale</w:t>
            </w:r>
          </w:p>
        </w:tc>
      </w:tr>
      <w:tr w:rsidR="003C0BEE" w:rsidRPr="00AA7159" w14:paraId="24B660A6" w14:textId="77777777" w:rsidTr="0023292F">
        <w:trPr>
          <w:trHeight w:val="808"/>
        </w:trPr>
        <w:tc>
          <w:tcPr>
            <w:tcW w:w="4530" w:type="dxa"/>
            <w:vMerge/>
          </w:tcPr>
          <w:p w14:paraId="5876F74D"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66FA204F" w14:textId="364ABEC9" w:rsidR="003C0BEE" w:rsidRPr="0023292F" w:rsidRDefault="003C0BEE" w:rsidP="003C0BEE">
            <w:pPr>
              <w:tabs>
                <w:tab w:val="left" w:pos="950"/>
              </w:tabs>
              <w:spacing w:before="120" w:after="100" w:afterAutospacing="1" w:line="240" w:lineRule="auto"/>
              <w:ind w:left="284" w:right="57" w:firstLine="709"/>
              <w:rPr>
                <w:rFonts w:cs="Arial"/>
                <w:sz w:val="22"/>
              </w:rPr>
            </w:pPr>
            <w:r w:rsidRPr="00913D81">
              <w:rPr>
                <w:rFonts w:cs="Arial"/>
                <w:szCs w:val="24"/>
              </w:rPr>
              <w:t>Publier périodiquement le bulletin d’information sur l’intégration régionale</w:t>
            </w:r>
          </w:p>
        </w:tc>
      </w:tr>
    </w:tbl>
    <w:p w14:paraId="027AD8AD" w14:textId="77777777" w:rsidR="0023292F" w:rsidRDefault="0023292F" w:rsidP="00615816">
      <w:pPr>
        <w:tabs>
          <w:tab w:val="left" w:pos="950"/>
        </w:tabs>
        <w:spacing w:before="120" w:after="100" w:afterAutospacing="1"/>
        <w:ind w:right="57"/>
        <w:rPr>
          <w:rFonts w:cs="Arial"/>
          <w:b/>
          <w:bCs/>
          <w:sz w:val="28"/>
          <w:szCs w:val="28"/>
          <w:u w:val="single"/>
        </w:rPr>
      </w:pPr>
    </w:p>
    <w:p w14:paraId="0FFC5246" w14:textId="6263934F" w:rsidR="008018B7" w:rsidRPr="00AA7159" w:rsidRDefault="0023292F" w:rsidP="00B40CC1">
      <w:pPr>
        <w:spacing w:after="160" w:line="259" w:lineRule="auto"/>
        <w:jc w:val="left"/>
        <w:rPr>
          <w:rFonts w:cs="Arial"/>
          <w:b/>
          <w:bCs/>
          <w:szCs w:val="24"/>
        </w:rPr>
      </w:pPr>
      <w:r>
        <w:rPr>
          <w:rFonts w:cs="Arial"/>
          <w:b/>
          <w:bCs/>
          <w:sz w:val="28"/>
          <w:szCs w:val="28"/>
          <w:u w:val="single"/>
        </w:rPr>
        <w:br w:type="page"/>
      </w:r>
      <w:r w:rsidR="008018B7" w:rsidRPr="00615816">
        <w:rPr>
          <w:rFonts w:cs="Arial"/>
          <w:b/>
          <w:bCs/>
          <w:sz w:val="28"/>
          <w:szCs w:val="28"/>
          <w:u w:val="single"/>
        </w:rPr>
        <w:lastRenderedPageBreak/>
        <w:t>OS 2 :</w:t>
      </w:r>
      <w:r w:rsidR="008018B7" w:rsidRPr="00AA7159">
        <w:rPr>
          <w:rFonts w:cs="Arial"/>
          <w:b/>
          <w:bCs/>
          <w:szCs w:val="24"/>
        </w:rPr>
        <w:t xml:space="preserve"> Renforcer le positionnement du Sénégal sur les marchés régionaux </w:t>
      </w:r>
    </w:p>
    <w:tbl>
      <w:tblPr>
        <w:tblStyle w:val="Grilledutableau"/>
        <w:tblW w:w="0" w:type="auto"/>
        <w:tblLook w:val="04A0" w:firstRow="1" w:lastRow="0" w:firstColumn="1" w:lastColumn="0" w:noHBand="0" w:noVBand="1"/>
      </w:tblPr>
      <w:tblGrid>
        <w:gridCol w:w="4530"/>
        <w:gridCol w:w="4530"/>
      </w:tblGrid>
      <w:tr w:rsidR="008018B7" w:rsidRPr="00615816" w14:paraId="6A15282E" w14:textId="77777777" w:rsidTr="002E1D43">
        <w:tc>
          <w:tcPr>
            <w:tcW w:w="4530" w:type="dxa"/>
            <w:shd w:val="clear" w:color="auto" w:fill="E2EFD9" w:themeFill="accent6" w:themeFillTint="33"/>
          </w:tcPr>
          <w:p w14:paraId="6AF6F01F" w14:textId="7157F2F6" w:rsidR="008018B7" w:rsidRPr="00615816" w:rsidRDefault="00615816" w:rsidP="002E1D43">
            <w:pPr>
              <w:tabs>
                <w:tab w:val="left" w:pos="950"/>
              </w:tabs>
              <w:spacing w:before="120" w:after="100" w:afterAutospacing="1" w:line="240" w:lineRule="auto"/>
              <w:ind w:right="57"/>
              <w:jc w:val="center"/>
              <w:rPr>
                <w:rFonts w:cs="Arial"/>
                <w:b/>
                <w:bCs/>
                <w:sz w:val="28"/>
                <w:szCs w:val="28"/>
              </w:rPr>
            </w:pPr>
            <w:r w:rsidRPr="00615816">
              <w:rPr>
                <w:rFonts w:cs="Arial"/>
                <w:b/>
                <w:bCs/>
                <w:sz w:val="28"/>
                <w:szCs w:val="28"/>
              </w:rPr>
              <w:t>ACTIONS</w:t>
            </w:r>
          </w:p>
        </w:tc>
        <w:tc>
          <w:tcPr>
            <w:tcW w:w="4530" w:type="dxa"/>
            <w:shd w:val="clear" w:color="auto" w:fill="E2EFD9" w:themeFill="accent6" w:themeFillTint="33"/>
          </w:tcPr>
          <w:p w14:paraId="1E66D564" w14:textId="597503DC" w:rsidR="008018B7" w:rsidRPr="00615816" w:rsidRDefault="00615816" w:rsidP="002E1D43">
            <w:pPr>
              <w:tabs>
                <w:tab w:val="left" w:pos="950"/>
              </w:tabs>
              <w:spacing w:before="120" w:after="100" w:afterAutospacing="1" w:line="240" w:lineRule="auto"/>
              <w:ind w:left="284" w:right="57" w:firstLine="709"/>
              <w:rPr>
                <w:rFonts w:cs="Arial"/>
                <w:b/>
                <w:bCs/>
                <w:sz w:val="28"/>
                <w:szCs w:val="28"/>
              </w:rPr>
            </w:pPr>
            <w:r w:rsidRPr="00615816">
              <w:rPr>
                <w:rFonts w:cs="Arial"/>
                <w:b/>
                <w:bCs/>
                <w:sz w:val="28"/>
                <w:szCs w:val="28"/>
              </w:rPr>
              <w:t>ACTIVITES</w:t>
            </w:r>
          </w:p>
        </w:tc>
      </w:tr>
      <w:tr w:rsidR="003C0BEE" w:rsidRPr="00AA7159" w14:paraId="64833EE3" w14:textId="77777777" w:rsidTr="002E1D43">
        <w:tc>
          <w:tcPr>
            <w:tcW w:w="4530" w:type="dxa"/>
            <w:vMerge w:val="restart"/>
          </w:tcPr>
          <w:p w14:paraId="1BDCE22C" w14:textId="77777777" w:rsidR="003C0BEE" w:rsidRPr="00913D81" w:rsidRDefault="003C0BEE" w:rsidP="003C0BEE">
            <w:pPr>
              <w:spacing w:after="60"/>
              <w:ind w:left="284" w:right="57" w:firstLine="709"/>
              <w:rPr>
                <w:rFonts w:cs="Arial"/>
                <w:b/>
                <w:bCs/>
                <w:szCs w:val="24"/>
              </w:rPr>
            </w:pPr>
          </w:p>
          <w:p w14:paraId="48B35828" w14:textId="03DD65C4" w:rsidR="003C0BEE" w:rsidRPr="0023292F" w:rsidRDefault="003C0BEE" w:rsidP="003C0BEE">
            <w:pPr>
              <w:spacing w:before="120" w:after="100" w:afterAutospacing="1" w:line="240" w:lineRule="auto"/>
              <w:ind w:left="284" w:right="57"/>
              <w:rPr>
                <w:rFonts w:cs="Arial"/>
                <w:sz w:val="22"/>
              </w:rPr>
            </w:pPr>
            <w:r w:rsidRPr="003C0BEE">
              <w:rPr>
                <w:rFonts w:cs="Arial"/>
                <w:b/>
                <w:bCs/>
                <w:szCs w:val="24"/>
                <w:u w:val="single"/>
              </w:rPr>
              <w:t>Action 1</w:t>
            </w:r>
            <w:r w:rsidRPr="00913D81">
              <w:rPr>
                <w:rFonts w:cs="Arial"/>
                <w:szCs w:val="24"/>
              </w:rPr>
              <w:t> : Articulation des stratégies nationales avec celles des organisations régionales</w:t>
            </w:r>
          </w:p>
        </w:tc>
        <w:tc>
          <w:tcPr>
            <w:tcW w:w="4530" w:type="dxa"/>
          </w:tcPr>
          <w:p w14:paraId="2349E281" w14:textId="0CB4FC17" w:rsidR="003C0BEE" w:rsidRPr="0023292F" w:rsidRDefault="003C0BEE" w:rsidP="003C0BEE">
            <w:pPr>
              <w:spacing w:before="120" w:after="100" w:afterAutospacing="1" w:line="240" w:lineRule="auto"/>
              <w:ind w:left="284" w:right="57"/>
              <w:rPr>
                <w:rFonts w:cs="Arial"/>
                <w:sz w:val="22"/>
              </w:rPr>
            </w:pPr>
            <w:r w:rsidRPr="00913D81">
              <w:rPr>
                <w:rFonts w:cs="Arial"/>
                <w:szCs w:val="24"/>
              </w:rPr>
              <w:t>Mettre en cohérence le Plan national de Développement avec les stratégies régionales</w:t>
            </w:r>
          </w:p>
        </w:tc>
      </w:tr>
      <w:tr w:rsidR="003C0BEE" w:rsidRPr="00AA7159" w14:paraId="09D93C8F" w14:textId="77777777" w:rsidTr="002E1D43">
        <w:tc>
          <w:tcPr>
            <w:tcW w:w="4530" w:type="dxa"/>
            <w:vMerge/>
          </w:tcPr>
          <w:p w14:paraId="1A106402"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01D95687" w14:textId="7029FB82"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Prendre en compte les politiques communautaires dans l’élaboration des politiques sectorielles nationales</w:t>
            </w:r>
          </w:p>
        </w:tc>
      </w:tr>
      <w:tr w:rsidR="003C0BEE" w:rsidRPr="00AA7159" w14:paraId="650F2A06" w14:textId="77777777" w:rsidTr="002E1D43">
        <w:tc>
          <w:tcPr>
            <w:tcW w:w="4530" w:type="dxa"/>
            <w:vMerge w:val="restart"/>
          </w:tcPr>
          <w:p w14:paraId="1982D18A" w14:textId="77777777" w:rsidR="003C0BEE" w:rsidRPr="00913D81" w:rsidRDefault="003C0BEE" w:rsidP="003C0BEE">
            <w:pPr>
              <w:spacing w:after="60"/>
              <w:ind w:left="284" w:right="57" w:firstLine="709"/>
              <w:rPr>
                <w:rFonts w:cs="Arial"/>
                <w:szCs w:val="24"/>
              </w:rPr>
            </w:pPr>
          </w:p>
          <w:p w14:paraId="4AAD5D85" w14:textId="77777777" w:rsidR="003C0BEE" w:rsidRPr="00913D81" w:rsidRDefault="003C0BEE" w:rsidP="003C0BEE">
            <w:pPr>
              <w:spacing w:after="60"/>
              <w:ind w:left="284" w:right="57" w:firstLine="709"/>
              <w:rPr>
                <w:rFonts w:cs="Arial"/>
                <w:szCs w:val="24"/>
              </w:rPr>
            </w:pPr>
          </w:p>
          <w:p w14:paraId="77E98E9B" w14:textId="77777777" w:rsidR="003C0BEE" w:rsidRPr="00913D81" w:rsidRDefault="003C0BEE" w:rsidP="003C0BEE">
            <w:pPr>
              <w:spacing w:after="60"/>
              <w:ind w:left="284" w:right="57" w:firstLine="709"/>
              <w:rPr>
                <w:rFonts w:cs="Arial"/>
                <w:szCs w:val="24"/>
              </w:rPr>
            </w:pPr>
          </w:p>
          <w:p w14:paraId="6DF4E050" w14:textId="5610C199" w:rsidR="003C0BEE" w:rsidRPr="0023292F" w:rsidRDefault="003C0BEE" w:rsidP="003C0BEE">
            <w:pPr>
              <w:spacing w:before="120" w:after="100" w:afterAutospacing="1" w:line="240" w:lineRule="auto"/>
              <w:ind w:left="284" w:right="57"/>
              <w:rPr>
                <w:rFonts w:cs="Arial"/>
                <w:sz w:val="22"/>
              </w:rPr>
            </w:pPr>
            <w:r w:rsidRPr="003C0BEE">
              <w:rPr>
                <w:rFonts w:cs="Arial"/>
                <w:b/>
                <w:bCs/>
                <w:szCs w:val="24"/>
                <w:u w:val="single"/>
              </w:rPr>
              <w:t>Action 2</w:t>
            </w:r>
            <w:r w:rsidRPr="00913D81">
              <w:rPr>
                <w:rFonts w:cs="Arial"/>
                <w:szCs w:val="24"/>
              </w:rPr>
              <w:t xml:space="preserve"> : Renforcement de l’insertion dans les chaines de valeur régionales </w:t>
            </w:r>
          </w:p>
        </w:tc>
        <w:tc>
          <w:tcPr>
            <w:tcW w:w="4530" w:type="dxa"/>
          </w:tcPr>
          <w:p w14:paraId="664E4DE5" w14:textId="3AF9AA7D"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Promouvoir la contractualisation dans les chaines de valeur agricoles</w:t>
            </w:r>
          </w:p>
        </w:tc>
      </w:tr>
      <w:tr w:rsidR="003C0BEE" w:rsidRPr="00AA7159" w14:paraId="3E103FFA" w14:textId="77777777" w:rsidTr="002E1D43">
        <w:tc>
          <w:tcPr>
            <w:tcW w:w="4530" w:type="dxa"/>
            <w:vMerge/>
          </w:tcPr>
          <w:p w14:paraId="11CC0E3C"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5C4AD668" w14:textId="1ACBD438"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Développer les différentes chaines de valeur identifiées aux niveaux régional et national (textile, automobile, construction, agro-alimentaire, etc.)</w:t>
            </w:r>
          </w:p>
        </w:tc>
      </w:tr>
      <w:tr w:rsidR="003C0BEE" w:rsidRPr="00AA7159" w14:paraId="66381962" w14:textId="77777777" w:rsidTr="002E1D43">
        <w:tc>
          <w:tcPr>
            <w:tcW w:w="4530" w:type="dxa"/>
            <w:vMerge/>
          </w:tcPr>
          <w:p w14:paraId="10733EC0"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303B18ED" w14:textId="47CF764D"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Créer et mettre à niveau des infrastructures de production, de stockage et de transport</w:t>
            </w:r>
          </w:p>
        </w:tc>
      </w:tr>
      <w:tr w:rsidR="003C0BEE" w:rsidRPr="00AA7159" w14:paraId="12EF929E" w14:textId="77777777" w:rsidTr="002E1D43">
        <w:tc>
          <w:tcPr>
            <w:tcW w:w="4530" w:type="dxa"/>
            <w:vMerge w:val="restart"/>
          </w:tcPr>
          <w:p w14:paraId="28E0CD0B" w14:textId="77777777" w:rsidR="003C0BEE" w:rsidRPr="00913D81" w:rsidRDefault="003C0BEE" w:rsidP="003C0BEE">
            <w:pPr>
              <w:spacing w:after="60"/>
              <w:ind w:left="284" w:right="57" w:firstLine="709"/>
              <w:rPr>
                <w:rFonts w:cs="Arial"/>
                <w:szCs w:val="24"/>
              </w:rPr>
            </w:pPr>
          </w:p>
          <w:p w14:paraId="5326FA08" w14:textId="77777777" w:rsidR="003C0BEE" w:rsidRPr="00913D81" w:rsidRDefault="003C0BEE" w:rsidP="003C0BEE">
            <w:pPr>
              <w:spacing w:after="60"/>
              <w:ind w:left="284" w:right="57" w:firstLine="709"/>
              <w:rPr>
                <w:rFonts w:cs="Arial"/>
                <w:szCs w:val="24"/>
              </w:rPr>
            </w:pPr>
          </w:p>
          <w:p w14:paraId="1952F959" w14:textId="77777777" w:rsidR="003C0BEE" w:rsidRPr="00913D81" w:rsidRDefault="003C0BEE" w:rsidP="003C0BEE">
            <w:pPr>
              <w:spacing w:after="60"/>
              <w:ind w:left="284" w:right="57" w:firstLine="709"/>
              <w:rPr>
                <w:rFonts w:cs="Arial"/>
                <w:szCs w:val="24"/>
              </w:rPr>
            </w:pPr>
          </w:p>
          <w:p w14:paraId="1F348926" w14:textId="77777777" w:rsidR="003C0BEE" w:rsidRPr="00913D81" w:rsidRDefault="003C0BEE" w:rsidP="003C0BEE">
            <w:pPr>
              <w:spacing w:after="60"/>
              <w:ind w:left="284" w:right="57" w:firstLine="709"/>
              <w:rPr>
                <w:rFonts w:cs="Arial"/>
                <w:szCs w:val="24"/>
              </w:rPr>
            </w:pPr>
          </w:p>
          <w:p w14:paraId="3D7E4B06" w14:textId="77777777" w:rsidR="003C0BEE" w:rsidRPr="00913D81" w:rsidRDefault="003C0BEE" w:rsidP="003C0BEE">
            <w:pPr>
              <w:spacing w:after="60"/>
              <w:ind w:left="284" w:right="57" w:firstLine="709"/>
              <w:rPr>
                <w:rFonts w:cs="Arial"/>
                <w:szCs w:val="24"/>
              </w:rPr>
            </w:pPr>
          </w:p>
          <w:p w14:paraId="31110550" w14:textId="77777777" w:rsidR="003C0BEE" w:rsidRPr="00913D81" w:rsidRDefault="003C0BEE" w:rsidP="003C0BEE">
            <w:pPr>
              <w:spacing w:after="60"/>
              <w:ind w:left="284" w:right="57" w:firstLine="709"/>
              <w:rPr>
                <w:rFonts w:cs="Arial"/>
                <w:szCs w:val="24"/>
              </w:rPr>
            </w:pPr>
          </w:p>
          <w:p w14:paraId="7505A99F" w14:textId="77777777" w:rsidR="003C0BEE" w:rsidRPr="00913D81" w:rsidRDefault="003C0BEE" w:rsidP="003C0BEE">
            <w:pPr>
              <w:spacing w:after="60"/>
              <w:ind w:left="284" w:right="57" w:firstLine="709"/>
              <w:rPr>
                <w:rFonts w:cs="Arial"/>
                <w:szCs w:val="24"/>
              </w:rPr>
            </w:pPr>
          </w:p>
          <w:p w14:paraId="7549379D" w14:textId="77777777" w:rsidR="003C0BEE" w:rsidRPr="00913D81" w:rsidRDefault="003C0BEE" w:rsidP="003C0BEE">
            <w:pPr>
              <w:spacing w:after="60"/>
              <w:ind w:left="284" w:right="57" w:firstLine="709"/>
              <w:rPr>
                <w:rFonts w:cs="Arial"/>
                <w:szCs w:val="24"/>
              </w:rPr>
            </w:pPr>
          </w:p>
          <w:p w14:paraId="14E76FCF" w14:textId="77777777" w:rsidR="003C0BEE" w:rsidRPr="00913D81" w:rsidRDefault="003C0BEE" w:rsidP="003C0BEE">
            <w:pPr>
              <w:spacing w:after="60"/>
              <w:ind w:left="284" w:right="57" w:firstLine="709"/>
              <w:rPr>
                <w:rFonts w:cs="Arial"/>
                <w:szCs w:val="24"/>
              </w:rPr>
            </w:pPr>
          </w:p>
          <w:p w14:paraId="0DB90FB9" w14:textId="77777777" w:rsidR="003C0BEE" w:rsidRPr="00913D81" w:rsidRDefault="003C0BEE" w:rsidP="003C0BEE">
            <w:pPr>
              <w:spacing w:after="60"/>
              <w:ind w:left="284" w:right="57" w:firstLine="709"/>
              <w:rPr>
                <w:rFonts w:cs="Arial"/>
                <w:b/>
                <w:bCs/>
                <w:szCs w:val="24"/>
              </w:rPr>
            </w:pPr>
          </w:p>
          <w:p w14:paraId="1132A3EA" w14:textId="0F9CF68A" w:rsidR="003C0BEE" w:rsidRPr="0023292F" w:rsidRDefault="003C0BEE" w:rsidP="003C0BEE">
            <w:pPr>
              <w:spacing w:before="120" w:after="100" w:afterAutospacing="1" w:line="240" w:lineRule="auto"/>
              <w:ind w:left="284" w:right="57"/>
              <w:rPr>
                <w:rFonts w:cs="Arial"/>
                <w:sz w:val="22"/>
              </w:rPr>
            </w:pPr>
            <w:r w:rsidRPr="003C0BEE">
              <w:rPr>
                <w:rFonts w:cs="Arial"/>
                <w:b/>
                <w:bCs/>
                <w:szCs w:val="24"/>
                <w:u w:val="single"/>
              </w:rPr>
              <w:t>Action 3</w:t>
            </w:r>
            <w:r w:rsidRPr="00913D81">
              <w:rPr>
                <w:rFonts w:cs="Arial"/>
                <w:szCs w:val="24"/>
              </w:rPr>
              <w:t xml:space="preserve"> : Amélioration de la contribution régionale du commerce extérieur </w:t>
            </w:r>
          </w:p>
        </w:tc>
        <w:tc>
          <w:tcPr>
            <w:tcW w:w="4530" w:type="dxa"/>
          </w:tcPr>
          <w:p w14:paraId="5EC6FD48" w14:textId="199988EE"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Créer au sein de chaque représentation diplomatique une unité de promotion des échanges</w:t>
            </w:r>
          </w:p>
        </w:tc>
      </w:tr>
      <w:tr w:rsidR="003C0BEE" w:rsidRPr="00AA7159" w14:paraId="7C8AB3C9" w14:textId="77777777" w:rsidTr="002E1D43">
        <w:tc>
          <w:tcPr>
            <w:tcW w:w="4530" w:type="dxa"/>
            <w:vMerge/>
          </w:tcPr>
          <w:p w14:paraId="0BD87A9D"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0AE489E4" w14:textId="1866ED1E"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Recenser et valoriser les produits à avantages comparatifs dans les différents marchés</w:t>
            </w:r>
          </w:p>
        </w:tc>
      </w:tr>
      <w:tr w:rsidR="003C0BEE" w:rsidRPr="00AA7159" w14:paraId="2B5C088D" w14:textId="77777777" w:rsidTr="002E1D43">
        <w:tc>
          <w:tcPr>
            <w:tcW w:w="4530" w:type="dxa"/>
            <w:vMerge/>
          </w:tcPr>
          <w:p w14:paraId="70201C8E"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1AF45B37" w14:textId="7586FF71"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 xml:space="preserve">Renforcer les chambres de commerce, d’agriculture et d’industrie ainsi que les organisations professionnelles </w:t>
            </w:r>
          </w:p>
        </w:tc>
      </w:tr>
      <w:tr w:rsidR="003C0BEE" w:rsidRPr="00AA7159" w14:paraId="4FF57BC9" w14:textId="77777777" w:rsidTr="002E1D43">
        <w:tc>
          <w:tcPr>
            <w:tcW w:w="4530" w:type="dxa"/>
            <w:vMerge/>
          </w:tcPr>
          <w:p w14:paraId="04C0CC36"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7366F5ED" w14:textId="17F3E1E6"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Mettre en œuvre un programme de formation et de sensibilisation des producteurs et des exportateurs sur les implications des schémas de libéralisation des échanges de l’UEMOA et de la CEDEAO et des protocoles de la ZLECAf</w:t>
            </w:r>
          </w:p>
        </w:tc>
      </w:tr>
      <w:tr w:rsidR="003C0BEE" w:rsidRPr="00AA7159" w14:paraId="0DB8345B" w14:textId="77777777" w:rsidTr="002E1D43">
        <w:tc>
          <w:tcPr>
            <w:tcW w:w="4530" w:type="dxa"/>
            <w:vMerge/>
          </w:tcPr>
          <w:p w14:paraId="179A9D12"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21888738" w14:textId="37A99B61"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Appuyer l’organisation de foires régionales et d’expositions dans les pays cibles</w:t>
            </w:r>
          </w:p>
        </w:tc>
      </w:tr>
      <w:tr w:rsidR="003C0BEE" w:rsidRPr="00AA7159" w14:paraId="04D1493A" w14:textId="77777777" w:rsidTr="002E1D43">
        <w:tc>
          <w:tcPr>
            <w:tcW w:w="4530" w:type="dxa"/>
            <w:vMerge/>
          </w:tcPr>
          <w:p w14:paraId="6EBD45B2"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6E27B82B" w14:textId="1396C5BB"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 xml:space="preserve">S’appuyer sur la diaspora régionale pour la facilitation du commerce avec les pays d’accueil </w:t>
            </w:r>
          </w:p>
        </w:tc>
      </w:tr>
      <w:tr w:rsidR="003C0BEE" w:rsidRPr="00AA7159" w14:paraId="00BD6D25" w14:textId="77777777" w:rsidTr="0023292F">
        <w:trPr>
          <w:trHeight w:val="744"/>
        </w:trPr>
        <w:tc>
          <w:tcPr>
            <w:tcW w:w="4530" w:type="dxa"/>
            <w:vMerge/>
          </w:tcPr>
          <w:p w14:paraId="6BF2F66E" w14:textId="77777777" w:rsidR="003C0BEE" w:rsidRPr="0023292F" w:rsidRDefault="003C0BEE" w:rsidP="003C0BEE">
            <w:pPr>
              <w:spacing w:before="120" w:after="100" w:afterAutospacing="1" w:line="240" w:lineRule="auto"/>
              <w:ind w:left="284" w:right="57" w:firstLine="709"/>
              <w:rPr>
                <w:rFonts w:cs="Arial"/>
                <w:sz w:val="22"/>
              </w:rPr>
            </w:pPr>
          </w:p>
        </w:tc>
        <w:tc>
          <w:tcPr>
            <w:tcW w:w="4530" w:type="dxa"/>
          </w:tcPr>
          <w:p w14:paraId="62E4DB49" w14:textId="31436EE7" w:rsidR="003C0BEE" w:rsidRPr="0023292F" w:rsidRDefault="003C0BEE" w:rsidP="003C0BEE">
            <w:pPr>
              <w:tabs>
                <w:tab w:val="left" w:pos="950"/>
              </w:tabs>
              <w:spacing w:before="120" w:after="100" w:afterAutospacing="1" w:line="240" w:lineRule="auto"/>
              <w:ind w:left="284" w:right="57"/>
              <w:rPr>
                <w:rFonts w:cs="Arial"/>
                <w:bCs/>
                <w:sz w:val="22"/>
              </w:rPr>
            </w:pPr>
            <w:r w:rsidRPr="00913D81">
              <w:rPr>
                <w:rFonts w:cs="Arial"/>
                <w:bCs/>
                <w:szCs w:val="24"/>
              </w:rPr>
              <w:t>Moderniser les marchés d’envergure régionale (Diaoubé, etc.)</w:t>
            </w:r>
          </w:p>
        </w:tc>
      </w:tr>
    </w:tbl>
    <w:p w14:paraId="6E81B60E" w14:textId="77777777" w:rsidR="0023292F" w:rsidRDefault="0023292F" w:rsidP="002E1D43">
      <w:pPr>
        <w:tabs>
          <w:tab w:val="left" w:pos="950"/>
        </w:tabs>
        <w:spacing w:before="120" w:after="100" w:afterAutospacing="1"/>
        <w:ind w:right="57"/>
        <w:rPr>
          <w:rFonts w:cs="Arial"/>
          <w:b/>
          <w:bCs/>
          <w:sz w:val="28"/>
          <w:szCs w:val="28"/>
          <w:u w:val="single"/>
        </w:rPr>
      </w:pPr>
    </w:p>
    <w:p w14:paraId="7D54F113" w14:textId="77777777" w:rsidR="0023292F" w:rsidRDefault="0023292F">
      <w:pPr>
        <w:spacing w:after="160" w:line="259" w:lineRule="auto"/>
        <w:jc w:val="left"/>
        <w:rPr>
          <w:rFonts w:cs="Arial"/>
          <w:b/>
          <w:bCs/>
          <w:sz w:val="28"/>
          <w:szCs w:val="28"/>
          <w:u w:val="single"/>
        </w:rPr>
      </w:pPr>
      <w:r>
        <w:rPr>
          <w:rFonts w:cs="Arial"/>
          <w:b/>
          <w:bCs/>
          <w:sz w:val="28"/>
          <w:szCs w:val="28"/>
          <w:u w:val="single"/>
        </w:rPr>
        <w:br w:type="page"/>
      </w:r>
    </w:p>
    <w:p w14:paraId="2199D012" w14:textId="01322F80" w:rsidR="008018B7" w:rsidRPr="00AA7159" w:rsidRDefault="008018B7" w:rsidP="002E1D43">
      <w:pPr>
        <w:tabs>
          <w:tab w:val="left" w:pos="950"/>
        </w:tabs>
        <w:spacing w:before="120" w:after="100" w:afterAutospacing="1"/>
        <w:ind w:right="57"/>
        <w:rPr>
          <w:rFonts w:cs="Arial"/>
          <w:b/>
          <w:bCs/>
          <w:szCs w:val="24"/>
        </w:rPr>
      </w:pPr>
      <w:r w:rsidRPr="002E1D43">
        <w:rPr>
          <w:rFonts w:cs="Arial"/>
          <w:b/>
          <w:bCs/>
          <w:sz w:val="28"/>
          <w:szCs w:val="28"/>
          <w:u w:val="single"/>
        </w:rPr>
        <w:lastRenderedPageBreak/>
        <w:t>OS 3 :</w:t>
      </w:r>
      <w:r w:rsidRPr="00AA7159">
        <w:rPr>
          <w:rFonts w:cs="Arial"/>
          <w:b/>
          <w:bCs/>
          <w:szCs w:val="24"/>
        </w:rPr>
        <w:t xml:space="preserve"> Développer les infrastructures en faveur de l’intégration régionale</w:t>
      </w:r>
    </w:p>
    <w:tbl>
      <w:tblPr>
        <w:tblStyle w:val="Grilledutableau"/>
        <w:tblW w:w="0" w:type="auto"/>
        <w:tblLook w:val="04A0" w:firstRow="1" w:lastRow="0" w:firstColumn="1" w:lastColumn="0" w:noHBand="0" w:noVBand="1"/>
      </w:tblPr>
      <w:tblGrid>
        <w:gridCol w:w="4530"/>
        <w:gridCol w:w="4530"/>
      </w:tblGrid>
      <w:tr w:rsidR="008018B7" w:rsidRPr="002E1D43" w14:paraId="716D8583" w14:textId="77777777" w:rsidTr="002E1D43">
        <w:tc>
          <w:tcPr>
            <w:tcW w:w="4530" w:type="dxa"/>
            <w:shd w:val="clear" w:color="auto" w:fill="E2EFD9" w:themeFill="accent6" w:themeFillTint="33"/>
          </w:tcPr>
          <w:p w14:paraId="4B2D7520" w14:textId="2C3F20E7" w:rsidR="008018B7" w:rsidRPr="002E1D43" w:rsidRDefault="002E1D43" w:rsidP="002E1D43">
            <w:pPr>
              <w:tabs>
                <w:tab w:val="left" w:pos="950"/>
              </w:tabs>
              <w:spacing w:after="0" w:line="240" w:lineRule="auto"/>
              <w:ind w:right="57"/>
              <w:jc w:val="center"/>
              <w:rPr>
                <w:rFonts w:cs="Arial"/>
                <w:b/>
                <w:bCs/>
                <w:sz w:val="28"/>
                <w:szCs w:val="28"/>
              </w:rPr>
            </w:pPr>
            <w:r w:rsidRPr="002E1D43">
              <w:rPr>
                <w:rFonts w:cs="Arial"/>
                <w:b/>
                <w:bCs/>
                <w:sz w:val="28"/>
                <w:szCs w:val="28"/>
              </w:rPr>
              <w:t>ACTIONS</w:t>
            </w:r>
          </w:p>
        </w:tc>
        <w:tc>
          <w:tcPr>
            <w:tcW w:w="4530" w:type="dxa"/>
            <w:shd w:val="clear" w:color="auto" w:fill="E2EFD9" w:themeFill="accent6" w:themeFillTint="33"/>
          </w:tcPr>
          <w:p w14:paraId="29F32F62" w14:textId="3B656BA3" w:rsidR="008018B7" w:rsidRPr="002E1D43" w:rsidRDefault="002E1D43" w:rsidP="002E1D43">
            <w:pPr>
              <w:tabs>
                <w:tab w:val="left" w:pos="950"/>
              </w:tabs>
              <w:spacing w:after="0" w:line="240" w:lineRule="auto"/>
              <w:ind w:left="284" w:right="57" w:firstLine="709"/>
              <w:rPr>
                <w:rFonts w:cs="Arial"/>
                <w:b/>
                <w:bCs/>
                <w:sz w:val="28"/>
                <w:szCs w:val="28"/>
              </w:rPr>
            </w:pPr>
            <w:r w:rsidRPr="002E1D43">
              <w:rPr>
                <w:rFonts w:cs="Arial"/>
                <w:b/>
                <w:bCs/>
                <w:sz w:val="28"/>
                <w:szCs w:val="28"/>
              </w:rPr>
              <w:t>ACTIVITES</w:t>
            </w:r>
          </w:p>
        </w:tc>
      </w:tr>
      <w:tr w:rsidR="003C0BEE" w:rsidRPr="00AA7159" w14:paraId="7B74B3C2" w14:textId="77777777" w:rsidTr="002E1D43">
        <w:tc>
          <w:tcPr>
            <w:tcW w:w="4530" w:type="dxa"/>
            <w:vMerge w:val="restart"/>
          </w:tcPr>
          <w:p w14:paraId="1CCD5294" w14:textId="77777777" w:rsidR="003C0BEE" w:rsidRPr="00913D81" w:rsidRDefault="003C0BEE" w:rsidP="003C0BEE">
            <w:pPr>
              <w:spacing w:after="60"/>
              <w:ind w:left="284" w:right="57" w:firstLine="709"/>
              <w:rPr>
                <w:rFonts w:cs="Arial"/>
                <w:szCs w:val="24"/>
              </w:rPr>
            </w:pPr>
          </w:p>
          <w:p w14:paraId="11A7D44D" w14:textId="0BE5B057" w:rsidR="003C0BEE" w:rsidRPr="00AA7159" w:rsidRDefault="003C0BEE" w:rsidP="003C0BEE">
            <w:pPr>
              <w:spacing w:after="0" w:line="240" w:lineRule="auto"/>
              <w:ind w:left="284" w:right="57"/>
              <w:rPr>
                <w:rFonts w:cs="Arial"/>
                <w:szCs w:val="24"/>
              </w:rPr>
            </w:pPr>
            <w:r w:rsidRPr="003C0BEE">
              <w:rPr>
                <w:rFonts w:cs="Arial"/>
                <w:b/>
                <w:bCs/>
                <w:szCs w:val="24"/>
                <w:u w:val="single"/>
              </w:rPr>
              <w:t>Action 1</w:t>
            </w:r>
            <w:r w:rsidRPr="00913D81">
              <w:rPr>
                <w:rFonts w:cs="Arial"/>
                <w:szCs w:val="24"/>
              </w:rPr>
              <w:t> : Amélioration de l’accès des entreprises à des services énergétiques durables et de qualité</w:t>
            </w:r>
          </w:p>
        </w:tc>
        <w:tc>
          <w:tcPr>
            <w:tcW w:w="4530" w:type="dxa"/>
          </w:tcPr>
          <w:p w14:paraId="6E883C0D" w14:textId="008AE71F" w:rsidR="003C0BEE" w:rsidRPr="00AA7159" w:rsidRDefault="003C0BEE" w:rsidP="003C0BEE">
            <w:pPr>
              <w:tabs>
                <w:tab w:val="left" w:pos="950"/>
              </w:tabs>
              <w:spacing w:after="0" w:line="240" w:lineRule="auto"/>
              <w:ind w:left="284" w:right="57"/>
              <w:rPr>
                <w:rFonts w:cs="Arial"/>
                <w:bCs/>
                <w:szCs w:val="24"/>
              </w:rPr>
            </w:pPr>
            <w:r w:rsidRPr="00913D81">
              <w:rPr>
                <w:rFonts w:cs="Arial"/>
                <w:bCs/>
                <w:szCs w:val="24"/>
              </w:rPr>
              <w:t>Créer et mettre à niveau des infrastructures de transport, de production et de stockage d’énergie</w:t>
            </w:r>
          </w:p>
        </w:tc>
      </w:tr>
      <w:tr w:rsidR="003C0BEE" w:rsidRPr="00AA7159" w14:paraId="5F1A23AB" w14:textId="77777777" w:rsidTr="002E1D43">
        <w:tc>
          <w:tcPr>
            <w:tcW w:w="4530" w:type="dxa"/>
            <w:vMerge/>
          </w:tcPr>
          <w:p w14:paraId="47210F30" w14:textId="77777777" w:rsidR="003C0BEE" w:rsidRPr="00AA7159" w:rsidRDefault="003C0BEE" w:rsidP="003C0BEE">
            <w:pPr>
              <w:tabs>
                <w:tab w:val="left" w:pos="950"/>
              </w:tabs>
              <w:spacing w:after="0" w:line="240" w:lineRule="auto"/>
              <w:ind w:left="284" w:right="57" w:firstLine="709"/>
              <w:rPr>
                <w:rFonts w:cs="Arial"/>
                <w:b/>
                <w:bCs/>
                <w:szCs w:val="24"/>
              </w:rPr>
            </w:pPr>
          </w:p>
        </w:tc>
        <w:tc>
          <w:tcPr>
            <w:tcW w:w="4530" w:type="dxa"/>
          </w:tcPr>
          <w:p w14:paraId="5A508C10" w14:textId="58344368" w:rsidR="003C0BEE" w:rsidRPr="00AA7159" w:rsidRDefault="003C0BEE" w:rsidP="003C0BEE">
            <w:pPr>
              <w:tabs>
                <w:tab w:val="left" w:pos="950"/>
              </w:tabs>
              <w:spacing w:after="0" w:line="240" w:lineRule="auto"/>
              <w:ind w:left="284" w:right="57"/>
              <w:rPr>
                <w:rFonts w:cs="Arial"/>
                <w:bCs/>
                <w:color w:val="FF0000"/>
                <w:szCs w:val="24"/>
              </w:rPr>
            </w:pPr>
            <w:r w:rsidRPr="00913D81">
              <w:rPr>
                <w:rFonts w:cs="Arial"/>
                <w:bCs/>
                <w:szCs w:val="24"/>
              </w:rPr>
              <w:t>Développer une approche de connectivité régionale dans la conception des infrastructures à l’échelle nationale</w:t>
            </w:r>
          </w:p>
        </w:tc>
      </w:tr>
      <w:tr w:rsidR="003C0BEE" w:rsidRPr="00AA7159" w14:paraId="49F26152" w14:textId="77777777" w:rsidTr="002E1D43">
        <w:tc>
          <w:tcPr>
            <w:tcW w:w="4530" w:type="dxa"/>
            <w:vMerge w:val="restart"/>
          </w:tcPr>
          <w:p w14:paraId="02D9B7C3" w14:textId="77777777" w:rsidR="003C0BEE" w:rsidRPr="00913D81" w:rsidRDefault="003C0BEE" w:rsidP="003C0BEE">
            <w:pPr>
              <w:spacing w:after="60"/>
              <w:ind w:left="284" w:right="57" w:firstLine="709"/>
              <w:rPr>
                <w:rFonts w:cs="Arial"/>
                <w:szCs w:val="24"/>
              </w:rPr>
            </w:pPr>
          </w:p>
          <w:p w14:paraId="756B6750" w14:textId="77777777" w:rsidR="003C0BEE" w:rsidRPr="00913D81" w:rsidRDefault="003C0BEE" w:rsidP="003C0BEE">
            <w:pPr>
              <w:spacing w:after="60"/>
              <w:ind w:left="284" w:right="57" w:firstLine="709"/>
              <w:rPr>
                <w:rFonts w:cs="Arial"/>
                <w:szCs w:val="24"/>
              </w:rPr>
            </w:pPr>
          </w:p>
          <w:p w14:paraId="3467601A" w14:textId="77777777" w:rsidR="003C0BEE" w:rsidRPr="00913D81" w:rsidRDefault="003C0BEE" w:rsidP="003C0BEE">
            <w:pPr>
              <w:spacing w:after="60"/>
              <w:ind w:left="284" w:right="57" w:firstLine="709"/>
              <w:rPr>
                <w:rFonts w:cs="Arial"/>
                <w:szCs w:val="24"/>
              </w:rPr>
            </w:pPr>
          </w:p>
          <w:p w14:paraId="7CDE8F8C" w14:textId="77777777" w:rsidR="003C0BEE" w:rsidRPr="00913D81" w:rsidRDefault="003C0BEE" w:rsidP="003C0BEE">
            <w:pPr>
              <w:spacing w:after="60"/>
              <w:ind w:left="284" w:right="57" w:firstLine="709"/>
              <w:rPr>
                <w:rFonts w:cs="Arial"/>
                <w:szCs w:val="24"/>
              </w:rPr>
            </w:pPr>
          </w:p>
          <w:p w14:paraId="7ECD801D" w14:textId="0135E05B" w:rsidR="003C0BEE" w:rsidRPr="00AA7159" w:rsidRDefault="003C0BEE" w:rsidP="003C0BEE">
            <w:pPr>
              <w:spacing w:after="0" w:line="240" w:lineRule="auto"/>
              <w:ind w:left="284" w:right="57"/>
              <w:rPr>
                <w:rFonts w:cs="Arial"/>
                <w:szCs w:val="24"/>
              </w:rPr>
            </w:pPr>
            <w:r w:rsidRPr="003C0BEE">
              <w:rPr>
                <w:rFonts w:cs="Arial"/>
                <w:b/>
                <w:bCs/>
                <w:szCs w:val="24"/>
              </w:rPr>
              <w:t>Action 2</w:t>
            </w:r>
            <w:r w:rsidRPr="00913D81">
              <w:rPr>
                <w:rFonts w:cs="Arial"/>
                <w:szCs w:val="24"/>
              </w:rPr>
              <w:t> : Développement de réseaux routier, aérien, ferroviaire et maritime de qualité pour faciliter la libre circulation des personnes et des biens</w:t>
            </w:r>
          </w:p>
        </w:tc>
        <w:tc>
          <w:tcPr>
            <w:tcW w:w="4530" w:type="dxa"/>
          </w:tcPr>
          <w:p w14:paraId="2CB8D5E4" w14:textId="33889572" w:rsidR="003C0BEE" w:rsidRPr="00AA7159" w:rsidRDefault="003C0BEE" w:rsidP="003C0BEE">
            <w:pPr>
              <w:tabs>
                <w:tab w:val="left" w:pos="950"/>
              </w:tabs>
              <w:spacing w:after="0" w:line="240" w:lineRule="auto"/>
              <w:ind w:left="284" w:right="57"/>
              <w:rPr>
                <w:rFonts w:cs="Arial"/>
                <w:b/>
                <w:bCs/>
                <w:szCs w:val="24"/>
              </w:rPr>
            </w:pPr>
            <w:r w:rsidRPr="00913D81">
              <w:rPr>
                <w:rFonts w:cs="Arial"/>
                <w:szCs w:val="24"/>
              </w:rPr>
              <w:t>Modernisation des systèmes de transport routier, aérien, ferroviaire et maritime</w:t>
            </w:r>
          </w:p>
        </w:tc>
      </w:tr>
      <w:tr w:rsidR="003C0BEE" w:rsidRPr="00AA7159" w14:paraId="37FDA441" w14:textId="77777777" w:rsidTr="002E1D43">
        <w:tc>
          <w:tcPr>
            <w:tcW w:w="4530" w:type="dxa"/>
            <w:vMerge/>
          </w:tcPr>
          <w:p w14:paraId="728C6A4B" w14:textId="77777777" w:rsidR="003C0BEE" w:rsidRPr="00AA7159" w:rsidRDefault="003C0BEE" w:rsidP="003C0BEE">
            <w:pPr>
              <w:spacing w:after="0" w:line="240" w:lineRule="auto"/>
              <w:ind w:left="284" w:right="57" w:firstLine="709"/>
              <w:rPr>
                <w:rFonts w:cs="Arial"/>
                <w:szCs w:val="24"/>
              </w:rPr>
            </w:pPr>
          </w:p>
        </w:tc>
        <w:tc>
          <w:tcPr>
            <w:tcW w:w="4530" w:type="dxa"/>
          </w:tcPr>
          <w:p w14:paraId="0FD6A17B" w14:textId="5EE36162" w:rsidR="003C0BEE" w:rsidRPr="00AA7159" w:rsidRDefault="003C0BEE" w:rsidP="003C0BEE">
            <w:pPr>
              <w:tabs>
                <w:tab w:val="left" w:pos="950"/>
              </w:tabs>
              <w:spacing w:after="0" w:line="240" w:lineRule="auto"/>
              <w:ind w:left="284" w:right="57"/>
              <w:rPr>
                <w:rFonts w:cs="Arial"/>
                <w:b/>
                <w:bCs/>
                <w:szCs w:val="24"/>
              </w:rPr>
            </w:pPr>
            <w:r w:rsidRPr="00913D81">
              <w:rPr>
                <w:rFonts w:cs="Arial"/>
                <w:bCs/>
                <w:szCs w:val="24"/>
              </w:rPr>
              <w:t xml:space="preserve">Construire et/ou réhabiliter les corridors routiers et ferroviaires menant vers les pays frontaliers </w:t>
            </w:r>
          </w:p>
        </w:tc>
      </w:tr>
      <w:tr w:rsidR="003C0BEE" w:rsidRPr="00AA7159" w14:paraId="0D89AD31" w14:textId="77777777" w:rsidTr="002E1D43">
        <w:tc>
          <w:tcPr>
            <w:tcW w:w="4530" w:type="dxa"/>
            <w:vMerge/>
          </w:tcPr>
          <w:p w14:paraId="189330C6" w14:textId="77777777" w:rsidR="003C0BEE" w:rsidRPr="00AA7159" w:rsidRDefault="003C0BEE" w:rsidP="003C0BEE">
            <w:pPr>
              <w:spacing w:after="0" w:line="240" w:lineRule="auto"/>
              <w:ind w:left="284" w:right="57" w:firstLine="709"/>
              <w:rPr>
                <w:rFonts w:cs="Arial"/>
                <w:szCs w:val="24"/>
              </w:rPr>
            </w:pPr>
          </w:p>
        </w:tc>
        <w:tc>
          <w:tcPr>
            <w:tcW w:w="4530" w:type="dxa"/>
          </w:tcPr>
          <w:p w14:paraId="61C2E9A1" w14:textId="484102B4" w:rsidR="003C0BEE" w:rsidRPr="00AA7159" w:rsidRDefault="003C0BEE" w:rsidP="003C0BEE">
            <w:pPr>
              <w:tabs>
                <w:tab w:val="left" w:pos="950"/>
              </w:tabs>
              <w:spacing w:after="0" w:line="240" w:lineRule="auto"/>
              <w:ind w:left="284" w:right="57"/>
              <w:rPr>
                <w:rFonts w:cs="Arial"/>
                <w:b/>
                <w:bCs/>
                <w:szCs w:val="24"/>
              </w:rPr>
            </w:pPr>
            <w:r w:rsidRPr="00913D81">
              <w:rPr>
                <w:rFonts w:cs="Arial"/>
                <w:bCs/>
                <w:szCs w:val="24"/>
              </w:rPr>
              <w:t>Réaliser la desserte maritime Dakar/Praia</w:t>
            </w:r>
          </w:p>
        </w:tc>
      </w:tr>
      <w:tr w:rsidR="003C0BEE" w:rsidRPr="00AA7159" w14:paraId="42B8EDE7" w14:textId="77777777" w:rsidTr="002E1D43">
        <w:tc>
          <w:tcPr>
            <w:tcW w:w="4530" w:type="dxa"/>
            <w:vMerge/>
          </w:tcPr>
          <w:p w14:paraId="75C5F342" w14:textId="77777777" w:rsidR="003C0BEE" w:rsidRPr="00AA7159" w:rsidRDefault="003C0BEE" w:rsidP="003C0BEE">
            <w:pPr>
              <w:spacing w:after="0" w:line="240" w:lineRule="auto"/>
              <w:ind w:left="284" w:right="57" w:firstLine="709"/>
              <w:rPr>
                <w:rFonts w:cs="Arial"/>
                <w:szCs w:val="24"/>
              </w:rPr>
            </w:pPr>
          </w:p>
        </w:tc>
        <w:tc>
          <w:tcPr>
            <w:tcW w:w="4530" w:type="dxa"/>
          </w:tcPr>
          <w:p w14:paraId="46122F99" w14:textId="1B6F0A92" w:rsidR="003C0BEE" w:rsidRPr="00AA7159" w:rsidRDefault="003C0BEE" w:rsidP="003C0BEE">
            <w:pPr>
              <w:tabs>
                <w:tab w:val="left" w:pos="950"/>
              </w:tabs>
              <w:spacing w:after="0" w:line="240" w:lineRule="auto"/>
              <w:ind w:left="284" w:right="57"/>
              <w:rPr>
                <w:rFonts w:cs="Arial"/>
                <w:b/>
                <w:bCs/>
                <w:szCs w:val="24"/>
              </w:rPr>
            </w:pPr>
            <w:r w:rsidRPr="00913D81">
              <w:rPr>
                <w:rFonts w:cs="Arial"/>
                <w:bCs/>
                <w:szCs w:val="24"/>
              </w:rPr>
              <w:t>Construire des ports secs sur le territoire national, notamment à Tambacounda </w:t>
            </w:r>
          </w:p>
        </w:tc>
      </w:tr>
      <w:tr w:rsidR="003C0BEE" w:rsidRPr="00AA7159" w14:paraId="7EF3546D" w14:textId="77777777" w:rsidTr="002E1D43">
        <w:tc>
          <w:tcPr>
            <w:tcW w:w="4530" w:type="dxa"/>
            <w:vMerge/>
          </w:tcPr>
          <w:p w14:paraId="4B8B9148" w14:textId="77777777" w:rsidR="003C0BEE" w:rsidRPr="00AA7159" w:rsidRDefault="003C0BEE" w:rsidP="003C0BEE">
            <w:pPr>
              <w:spacing w:after="0" w:line="240" w:lineRule="auto"/>
              <w:ind w:left="284" w:right="57" w:firstLine="709"/>
              <w:rPr>
                <w:rFonts w:cs="Arial"/>
                <w:szCs w:val="24"/>
              </w:rPr>
            </w:pPr>
          </w:p>
        </w:tc>
        <w:tc>
          <w:tcPr>
            <w:tcW w:w="4530" w:type="dxa"/>
          </w:tcPr>
          <w:p w14:paraId="4451533E" w14:textId="15BD2629" w:rsidR="003C0BEE" w:rsidRPr="00AA7159" w:rsidRDefault="003C0BEE" w:rsidP="003C0BEE">
            <w:pPr>
              <w:tabs>
                <w:tab w:val="left" w:pos="950"/>
              </w:tabs>
              <w:spacing w:after="0" w:line="240" w:lineRule="auto"/>
              <w:ind w:left="284" w:right="57"/>
              <w:rPr>
                <w:rFonts w:cs="Arial"/>
                <w:b/>
                <w:bCs/>
                <w:szCs w:val="24"/>
              </w:rPr>
            </w:pPr>
            <w:r w:rsidRPr="00913D81">
              <w:rPr>
                <w:rFonts w:cs="Arial"/>
                <w:bCs/>
                <w:szCs w:val="24"/>
              </w:rPr>
              <w:t>Finaliser les travaux de construction et/ou réhabilitation des aéroports régionaux</w:t>
            </w:r>
          </w:p>
        </w:tc>
      </w:tr>
      <w:tr w:rsidR="003C0BEE" w:rsidRPr="00AA7159" w14:paraId="6C8A24D2" w14:textId="77777777" w:rsidTr="002E1D43">
        <w:tc>
          <w:tcPr>
            <w:tcW w:w="4530" w:type="dxa"/>
            <w:vMerge/>
          </w:tcPr>
          <w:p w14:paraId="57FAD0CF" w14:textId="77777777" w:rsidR="003C0BEE" w:rsidRPr="00AA7159" w:rsidRDefault="003C0BEE" w:rsidP="003C0BEE">
            <w:pPr>
              <w:spacing w:after="0" w:line="240" w:lineRule="auto"/>
              <w:ind w:left="284" w:right="57" w:firstLine="709"/>
              <w:rPr>
                <w:rFonts w:cs="Arial"/>
                <w:szCs w:val="24"/>
              </w:rPr>
            </w:pPr>
          </w:p>
        </w:tc>
        <w:tc>
          <w:tcPr>
            <w:tcW w:w="4530" w:type="dxa"/>
          </w:tcPr>
          <w:p w14:paraId="4C296EBD" w14:textId="4F5917D0" w:rsidR="003C0BEE" w:rsidRPr="00AA7159" w:rsidRDefault="003C0BEE" w:rsidP="003C0BEE">
            <w:pPr>
              <w:tabs>
                <w:tab w:val="left" w:pos="950"/>
              </w:tabs>
              <w:spacing w:after="0" w:line="240" w:lineRule="auto"/>
              <w:ind w:left="284" w:right="57"/>
              <w:rPr>
                <w:rFonts w:cs="Arial"/>
                <w:b/>
                <w:bCs/>
                <w:szCs w:val="24"/>
              </w:rPr>
            </w:pPr>
            <w:r w:rsidRPr="00913D81">
              <w:rPr>
                <w:rFonts w:cs="Arial"/>
                <w:bCs/>
                <w:szCs w:val="24"/>
              </w:rPr>
              <w:t>Accélérer les travaux de mise en place du hub aéroportuaire</w:t>
            </w:r>
          </w:p>
        </w:tc>
      </w:tr>
      <w:tr w:rsidR="003C0BEE" w:rsidRPr="00AA7159" w14:paraId="35947E42" w14:textId="77777777" w:rsidTr="002E1D43">
        <w:tc>
          <w:tcPr>
            <w:tcW w:w="4530" w:type="dxa"/>
            <w:vMerge/>
          </w:tcPr>
          <w:p w14:paraId="0AB3762B" w14:textId="77777777" w:rsidR="003C0BEE" w:rsidRPr="00AA7159" w:rsidRDefault="003C0BEE" w:rsidP="003C0BEE">
            <w:pPr>
              <w:spacing w:after="0" w:line="240" w:lineRule="auto"/>
              <w:ind w:left="284" w:right="57" w:firstLine="709"/>
              <w:rPr>
                <w:rFonts w:cs="Arial"/>
                <w:szCs w:val="24"/>
              </w:rPr>
            </w:pPr>
          </w:p>
        </w:tc>
        <w:tc>
          <w:tcPr>
            <w:tcW w:w="4530" w:type="dxa"/>
          </w:tcPr>
          <w:p w14:paraId="21C8F610" w14:textId="420C0B6E" w:rsidR="003C0BEE" w:rsidRPr="00AA7159" w:rsidRDefault="003C0BEE" w:rsidP="003C0BEE">
            <w:pPr>
              <w:tabs>
                <w:tab w:val="left" w:pos="950"/>
              </w:tabs>
              <w:spacing w:after="0" w:line="240" w:lineRule="auto"/>
              <w:ind w:left="284" w:right="57"/>
              <w:rPr>
                <w:rFonts w:cs="Arial"/>
                <w:bCs/>
                <w:szCs w:val="24"/>
              </w:rPr>
            </w:pPr>
            <w:r w:rsidRPr="00913D81">
              <w:rPr>
                <w:rFonts w:cs="Arial"/>
                <w:bCs/>
                <w:szCs w:val="24"/>
              </w:rPr>
              <w:t xml:space="preserve">Accélérer le renouvellement du parc des gros porteurs </w:t>
            </w:r>
          </w:p>
        </w:tc>
      </w:tr>
      <w:tr w:rsidR="003C0BEE" w:rsidRPr="00AA7159" w14:paraId="539FA9D3" w14:textId="77777777" w:rsidTr="002E1D43">
        <w:tc>
          <w:tcPr>
            <w:tcW w:w="4530" w:type="dxa"/>
            <w:vMerge w:val="restart"/>
          </w:tcPr>
          <w:p w14:paraId="631F4BCF" w14:textId="77777777" w:rsidR="003C0BEE" w:rsidRPr="00913D81" w:rsidRDefault="003C0BEE" w:rsidP="003C0BEE">
            <w:pPr>
              <w:spacing w:after="60"/>
              <w:ind w:left="284" w:right="57" w:firstLine="709"/>
              <w:rPr>
                <w:rFonts w:cs="Arial"/>
                <w:szCs w:val="24"/>
              </w:rPr>
            </w:pPr>
          </w:p>
          <w:p w14:paraId="42AC1DAA" w14:textId="77777777" w:rsidR="003C0BEE" w:rsidRPr="00913D81" w:rsidRDefault="003C0BEE" w:rsidP="003C0BEE">
            <w:pPr>
              <w:spacing w:after="60"/>
              <w:ind w:left="284" w:right="57" w:firstLine="709"/>
              <w:rPr>
                <w:rFonts w:cs="Arial"/>
                <w:szCs w:val="24"/>
              </w:rPr>
            </w:pPr>
          </w:p>
          <w:p w14:paraId="5FFAD7F3" w14:textId="77777777" w:rsidR="003C0BEE" w:rsidRPr="00913D81" w:rsidRDefault="003C0BEE" w:rsidP="003C0BEE">
            <w:pPr>
              <w:spacing w:after="60"/>
              <w:ind w:left="284" w:right="57" w:firstLine="709"/>
              <w:rPr>
                <w:rFonts w:cs="Arial"/>
                <w:szCs w:val="24"/>
              </w:rPr>
            </w:pPr>
          </w:p>
          <w:p w14:paraId="353B7346" w14:textId="77777777" w:rsidR="003C0BEE" w:rsidRPr="00913D81" w:rsidRDefault="003C0BEE" w:rsidP="003C0BEE">
            <w:pPr>
              <w:spacing w:after="60"/>
              <w:ind w:left="284" w:right="57" w:firstLine="709"/>
              <w:rPr>
                <w:rFonts w:cs="Arial"/>
                <w:szCs w:val="24"/>
              </w:rPr>
            </w:pPr>
          </w:p>
          <w:p w14:paraId="44C210C8" w14:textId="77777777" w:rsidR="003C0BEE" w:rsidRPr="00913D81" w:rsidRDefault="003C0BEE" w:rsidP="003C0BEE">
            <w:pPr>
              <w:spacing w:after="60"/>
              <w:ind w:left="284" w:right="57" w:firstLine="709"/>
              <w:rPr>
                <w:rFonts w:cs="Arial"/>
                <w:szCs w:val="24"/>
              </w:rPr>
            </w:pPr>
          </w:p>
          <w:p w14:paraId="640AA604" w14:textId="77777777" w:rsidR="003C0BEE" w:rsidRPr="00913D81" w:rsidRDefault="003C0BEE" w:rsidP="003C0BEE">
            <w:pPr>
              <w:spacing w:after="60"/>
              <w:ind w:left="284" w:right="57" w:firstLine="709"/>
              <w:rPr>
                <w:rFonts w:cs="Arial"/>
                <w:szCs w:val="24"/>
              </w:rPr>
            </w:pPr>
          </w:p>
          <w:p w14:paraId="078FCDBC" w14:textId="77777777" w:rsidR="003C0BEE" w:rsidRPr="00913D81" w:rsidRDefault="003C0BEE" w:rsidP="005D3F82">
            <w:pPr>
              <w:spacing w:after="60"/>
              <w:ind w:left="284" w:right="57"/>
              <w:rPr>
                <w:rFonts w:cs="Arial"/>
                <w:szCs w:val="24"/>
              </w:rPr>
            </w:pPr>
            <w:r w:rsidRPr="005D3F82">
              <w:rPr>
                <w:rFonts w:cs="Arial"/>
                <w:b/>
                <w:bCs/>
                <w:szCs w:val="24"/>
                <w:u w:val="single"/>
              </w:rPr>
              <w:t>Action 3</w:t>
            </w:r>
            <w:r w:rsidRPr="00913D81">
              <w:rPr>
                <w:rFonts w:cs="Arial"/>
                <w:szCs w:val="24"/>
              </w:rPr>
              <w:t> : Amélioration du positionnement du Sénégal comme centre régional de référence académique, médical, numérique et minier</w:t>
            </w:r>
          </w:p>
          <w:p w14:paraId="2ADB0AD0" w14:textId="77777777" w:rsidR="003C0BEE" w:rsidRPr="00AA7159" w:rsidRDefault="003C0BEE" w:rsidP="003C0BEE">
            <w:pPr>
              <w:spacing w:after="0" w:line="240" w:lineRule="auto"/>
              <w:ind w:left="284" w:right="57" w:firstLine="709"/>
              <w:rPr>
                <w:rFonts w:cs="Arial"/>
                <w:szCs w:val="24"/>
              </w:rPr>
            </w:pPr>
          </w:p>
        </w:tc>
        <w:tc>
          <w:tcPr>
            <w:tcW w:w="4530" w:type="dxa"/>
          </w:tcPr>
          <w:p w14:paraId="303A9CD7" w14:textId="1705599D" w:rsidR="003C0BEE" w:rsidRPr="00AA7159" w:rsidRDefault="003C0BEE" w:rsidP="003C0BEE">
            <w:pPr>
              <w:tabs>
                <w:tab w:val="left" w:pos="950"/>
              </w:tabs>
              <w:spacing w:after="0" w:line="240" w:lineRule="auto"/>
              <w:ind w:left="284" w:right="57"/>
              <w:rPr>
                <w:rFonts w:cs="Arial"/>
                <w:bCs/>
                <w:szCs w:val="24"/>
              </w:rPr>
            </w:pPr>
            <w:r w:rsidRPr="00913D81">
              <w:rPr>
                <w:rFonts w:cs="Arial"/>
                <w:bCs/>
                <w:szCs w:val="24"/>
              </w:rPr>
              <w:t>Poursuivre la construction des infrastructures sanitaires de dernière génération (à l’instar du Centre national d’Oncologie et de la Polyclinique de l’Hôpital Principal de Dakar et le Complexe pharmaceutique de Diamniadio)</w:t>
            </w:r>
          </w:p>
        </w:tc>
      </w:tr>
      <w:tr w:rsidR="003C0BEE" w:rsidRPr="00AA7159" w14:paraId="759B72F2" w14:textId="77777777" w:rsidTr="002E1D43">
        <w:tc>
          <w:tcPr>
            <w:tcW w:w="4530" w:type="dxa"/>
            <w:vMerge/>
          </w:tcPr>
          <w:p w14:paraId="2F42F150" w14:textId="77777777" w:rsidR="003C0BEE" w:rsidRPr="00AA7159" w:rsidRDefault="003C0BEE" w:rsidP="003C0BEE">
            <w:pPr>
              <w:spacing w:after="0" w:line="240" w:lineRule="auto"/>
              <w:ind w:left="284" w:right="57" w:firstLine="709"/>
              <w:rPr>
                <w:rFonts w:cs="Arial"/>
                <w:szCs w:val="24"/>
              </w:rPr>
            </w:pPr>
          </w:p>
        </w:tc>
        <w:tc>
          <w:tcPr>
            <w:tcW w:w="4530" w:type="dxa"/>
          </w:tcPr>
          <w:p w14:paraId="36304A34" w14:textId="46A1F12E" w:rsidR="003C0BEE" w:rsidRPr="00AA7159" w:rsidRDefault="003C0BEE" w:rsidP="003C0BEE">
            <w:pPr>
              <w:tabs>
                <w:tab w:val="left" w:pos="950"/>
              </w:tabs>
              <w:spacing w:after="0" w:line="240" w:lineRule="auto"/>
              <w:ind w:left="284" w:right="57"/>
              <w:rPr>
                <w:rFonts w:cs="Arial"/>
                <w:bCs/>
                <w:szCs w:val="24"/>
              </w:rPr>
            </w:pPr>
            <w:r w:rsidRPr="00913D81">
              <w:rPr>
                <w:rFonts w:cs="Arial"/>
                <w:bCs/>
                <w:szCs w:val="24"/>
              </w:rPr>
              <w:t>Poursuivre la construction, la réhabilitation et le relèvement du plateau technique des hôpitaux régionaux et des districts sanitaires</w:t>
            </w:r>
          </w:p>
        </w:tc>
      </w:tr>
      <w:tr w:rsidR="003C0BEE" w:rsidRPr="00AA7159" w14:paraId="0CECFF78" w14:textId="77777777" w:rsidTr="002E1D43">
        <w:tc>
          <w:tcPr>
            <w:tcW w:w="4530" w:type="dxa"/>
            <w:vMerge/>
          </w:tcPr>
          <w:p w14:paraId="6795A7BF" w14:textId="77777777" w:rsidR="003C0BEE" w:rsidRPr="00AA7159" w:rsidRDefault="003C0BEE" w:rsidP="003C0BEE">
            <w:pPr>
              <w:spacing w:after="0" w:line="240" w:lineRule="auto"/>
              <w:ind w:left="284" w:right="57" w:firstLine="709"/>
              <w:rPr>
                <w:rFonts w:cs="Arial"/>
                <w:szCs w:val="24"/>
              </w:rPr>
            </w:pPr>
          </w:p>
        </w:tc>
        <w:tc>
          <w:tcPr>
            <w:tcW w:w="4530" w:type="dxa"/>
          </w:tcPr>
          <w:p w14:paraId="735131B6" w14:textId="35557236" w:rsidR="003C0BEE" w:rsidRPr="00AA7159" w:rsidRDefault="003C0BEE" w:rsidP="003C0BEE">
            <w:pPr>
              <w:tabs>
                <w:tab w:val="left" w:pos="950"/>
              </w:tabs>
              <w:spacing w:after="0" w:line="240" w:lineRule="auto"/>
              <w:ind w:left="284" w:right="57"/>
              <w:rPr>
                <w:rFonts w:cs="Arial"/>
                <w:bCs/>
                <w:szCs w:val="24"/>
              </w:rPr>
            </w:pPr>
            <w:r w:rsidRPr="00913D81">
              <w:rPr>
                <w:rFonts w:cs="Arial"/>
                <w:bCs/>
                <w:szCs w:val="24"/>
              </w:rPr>
              <w:t>Accélérer la mise en place du hub minier de Kédougou</w:t>
            </w:r>
          </w:p>
        </w:tc>
      </w:tr>
      <w:tr w:rsidR="003C0BEE" w:rsidRPr="00AA7159" w14:paraId="050A7A67" w14:textId="77777777" w:rsidTr="002E1D43">
        <w:tc>
          <w:tcPr>
            <w:tcW w:w="4530" w:type="dxa"/>
            <w:vMerge/>
          </w:tcPr>
          <w:p w14:paraId="7B1144E1" w14:textId="77777777" w:rsidR="003C0BEE" w:rsidRPr="00AA7159" w:rsidRDefault="003C0BEE" w:rsidP="003C0BEE">
            <w:pPr>
              <w:spacing w:after="0" w:line="240" w:lineRule="auto"/>
              <w:ind w:left="284" w:right="57" w:firstLine="709"/>
              <w:rPr>
                <w:rFonts w:cs="Arial"/>
                <w:szCs w:val="24"/>
              </w:rPr>
            </w:pPr>
          </w:p>
        </w:tc>
        <w:tc>
          <w:tcPr>
            <w:tcW w:w="4530" w:type="dxa"/>
          </w:tcPr>
          <w:p w14:paraId="608C64F8" w14:textId="0EDA9F09" w:rsidR="003C0BEE" w:rsidRPr="00AA7159" w:rsidRDefault="003C0BEE" w:rsidP="003C0BEE">
            <w:pPr>
              <w:tabs>
                <w:tab w:val="left" w:pos="950"/>
              </w:tabs>
              <w:spacing w:after="0" w:line="240" w:lineRule="auto"/>
              <w:ind w:left="284" w:right="57"/>
              <w:rPr>
                <w:rFonts w:cs="Arial"/>
                <w:bCs/>
                <w:szCs w:val="24"/>
              </w:rPr>
            </w:pPr>
            <w:r w:rsidRPr="00913D81">
              <w:rPr>
                <w:rFonts w:cs="Arial"/>
                <w:bCs/>
                <w:szCs w:val="24"/>
              </w:rPr>
              <w:t xml:space="preserve">Opérationnaliser la stratégie Sénégal numérique 2025 </w:t>
            </w:r>
          </w:p>
        </w:tc>
      </w:tr>
    </w:tbl>
    <w:p w14:paraId="7EEE18C6" w14:textId="77777777" w:rsidR="009D3A33" w:rsidRPr="00AA7159" w:rsidRDefault="009D3A33" w:rsidP="008018B7">
      <w:pPr>
        <w:tabs>
          <w:tab w:val="left" w:pos="950"/>
        </w:tabs>
        <w:spacing w:before="120" w:after="100" w:afterAutospacing="1"/>
        <w:ind w:left="284" w:right="57" w:firstLine="709"/>
        <w:rPr>
          <w:rFonts w:cs="Arial"/>
          <w:b/>
          <w:bCs/>
          <w:szCs w:val="24"/>
        </w:rPr>
      </w:pPr>
    </w:p>
    <w:p w14:paraId="389E0063" w14:textId="77777777" w:rsidR="0023292F" w:rsidRDefault="0023292F">
      <w:pPr>
        <w:spacing w:after="160" w:line="259" w:lineRule="auto"/>
        <w:jc w:val="left"/>
        <w:rPr>
          <w:rFonts w:cs="Arial"/>
          <w:b/>
          <w:sz w:val="28"/>
          <w:szCs w:val="28"/>
          <w:u w:val="single"/>
        </w:rPr>
      </w:pPr>
      <w:r>
        <w:rPr>
          <w:rFonts w:cs="Arial"/>
          <w:b/>
          <w:sz w:val="28"/>
          <w:szCs w:val="28"/>
          <w:u w:val="single"/>
        </w:rPr>
        <w:br w:type="page"/>
      </w:r>
    </w:p>
    <w:p w14:paraId="19FB841F" w14:textId="3EB17338" w:rsidR="008018B7" w:rsidRPr="00AA7159" w:rsidRDefault="008018B7" w:rsidP="00A225D6">
      <w:pPr>
        <w:spacing w:before="120" w:after="100" w:afterAutospacing="1"/>
        <w:ind w:right="57"/>
        <w:rPr>
          <w:rFonts w:cs="Arial"/>
          <w:b/>
          <w:szCs w:val="24"/>
        </w:rPr>
      </w:pPr>
      <w:r w:rsidRPr="00A225D6">
        <w:rPr>
          <w:rFonts w:cs="Arial"/>
          <w:b/>
          <w:sz w:val="28"/>
          <w:szCs w:val="28"/>
          <w:u w:val="single"/>
        </w:rPr>
        <w:lastRenderedPageBreak/>
        <w:t>OS 4 :</w:t>
      </w:r>
      <w:r w:rsidRPr="00AA7159">
        <w:rPr>
          <w:rFonts w:cs="Arial"/>
          <w:b/>
          <w:szCs w:val="24"/>
        </w:rPr>
        <w:t xml:space="preserve"> Promouvoir une gestion durable (concertée) des ressources naturelles </w:t>
      </w:r>
    </w:p>
    <w:tbl>
      <w:tblPr>
        <w:tblStyle w:val="Grilledutableau"/>
        <w:tblW w:w="0" w:type="auto"/>
        <w:tblLook w:val="04A0" w:firstRow="1" w:lastRow="0" w:firstColumn="1" w:lastColumn="0" w:noHBand="0" w:noVBand="1"/>
      </w:tblPr>
      <w:tblGrid>
        <w:gridCol w:w="4530"/>
        <w:gridCol w:w="4530"/>
      </w:tblGrid>
      <w:tr w:rsidR="008018B7" w:rsidRPr="00A225D6" w14:paraId="2DAD59A3" w14:textId="77777777" w:rsidTr="008F5AE8">
        <w:trPr>
          <w:trHeight w:val="503"/>
        </w:trPr>
        <w:tc>
          <w:tcPr>
            <w:tcW w:w="4530" w:type="dxa"/>
            <w:shd w:val="clear" w:color="auto" w:fill="E2EFD9" w:themeFill="accent6" w:themeFillTint="33"/>
          </w:tcPr>
          <w:p w14:paraId="23EE5738" w14:textId="5B18335B" w:rsidR="008018B7" w:rsidRPr="00A225D6" w:rsidRDefault="00A225D6" w:rsidP="00A225D6">
            <w:pPr>
              <w:tabs>
                <w:tab w:val="left" w:pos="950"/>
              </w:tabs>
              <w:spacing w:before="40" w:after="40" w:line="240" w:lineRule="auto"/>
              <w:ind w:right="57"/>
              <w:jc w:val="center"/>
              <w:rPr>
                <w:rFonts w:cs="Arial"/>
                <w:b/>
                <w:bCs/>
                <w:sz w:val="28"/>
                <w:szCs w:val="28"/>
              </w:rPr>
            </w:pPr>
            <w:r w:rsidRPr="00A225D6">
              <w:rPr>
                <w:rFonts w:cs="Arial"/>
                <w:b/>
                <w:bCs/>
                <w:sz w:val="28"/>
                <w:szCs w:val="28"/>
              </w:rPr>
              <w:t>ACTIONS</w:t>
            </w:r>
          </w:p>
        </w:tc>
        <w:tc>
          <w:tcPr>
            <w:tcW w:w="4530" w:type="dxa"/>
            <w:shd w:val="clear" w:color="auto" w:fill="E2EFD9" w:themeFill="accent6" w:themeFillTint="33"/>
          </w:tcPr>
          <w:p w14:paraId="0994D49E" w14:textId="52B52209" w:rsidR="008018B7" w:rsidRPr="00A225D6" w:rsidRDefault="00A225D6" w:rsidP="00A225D6">
            <w:pPr>
              <w:tabs>
                <w:tab w:val="left" w:pos="950"/>
              </w:tabs>
              <w:spacing w:before="40" w:after="40" w:line="240" w:lineRule="auto"/>
              <w:ind w:left="284" w:right="57" w:firstLine="709"/>
              <w:rPr>
                <w:rFonts w:cs="Arial"/>
                <w:b/>
                <w:bCs/>
                <w:sz w:val="28"/>
                <w:szCs w:val="28"/>
              </w:rPr>
            </w:pPr>
            <w:r w:rsidRPr="00A225D6">
              <w:rPr>
                <w:rFonts w:cs="Arial"/>
                <w:b/>
                <w:bCs/>
                <w:sz w:val="28"/>
                <w:szCs w:val="28"/>
              </w:rPr>
              <w:t>ACTIVITES</w:t>
            </w:r>
          </w:p>
        </w:tc>
      </w:tr>
      <w:tr w:rsidR="005D3F82" w:rsidRPr="00AA7159" w14:paraId="583E7818" w14:textId="77777777" w:rsidTr="00A225D6">
        <w:tc>
          <w:tcPr>
            <w:tcW w:w="4530" w:type="dxa"/>
            <w:vMerge w:val="restart"/>
          </w:tcPr>
          <w:p w14:paraId="78C531D5" w14:textId="77777777" w:rsidR="005D3F82" w:rsidRPr="00913D81" w:rsidRDefault="005D3F82" w:rsidP="005D3F82">
            <w:pPr>
              <w:spacing w:after="60"/>
              <w:ind w:left="284" w:right="57" w:firstLine="709"/>
              <w:rPr>
                <w:rFonts w:cs="Arial"/>
                <w:szCs w:val="24"/>
              </w:rPr>
            </w:pPr>
          </w:p>
          <w:p w14:paraId="4015B91B" w14:textId="77777777" w:rsidR="005D3F82" w:rsidRPr="00913D81" w:rsidRDefault="005D3F82" w:rsidP="005D3F82">
            <w:pPr>
              <w:spacing w:after="60"/>
              <w:ind w:left="284" w:right="57" w:firstLine="709"/>
              <w:rPr>
                <w:rFonts w:cs="Arial"/>
                <w:szCs w:val="24"/>
              </w:rPr>
            </w:pPr>
          </w:p>
          <w:p w14:paraId="1C6B1D0C" w14:textId="77777777" w:rsidR="005D3F82" w:rsidRPr="00913D81" w:rsidRDefault="005D3F82" w:rsidP="005D3F82">
            <w:pPr>
              <w:spacing w:after="60"/>
              <w:ind w:left="284" w:right="57" w:firstLine="709"/>
              <w:rPr>
                <w:rFonts w:cs="Arial"/>
                <w:szCs w:val="24"/>
              </w:rPr>
            </w:pPr>
          </w:p>
          <w:p w14:paraId="3C501526" w14:textId="54461FD6" w:rsidR="005D3F82" w:rsidRPr="0023292F" w:rsidRDefault="005D3F82" w:rsidP="005D3F82">
            <w:pPr>
              <w:spacing w:before="40" w:after="40" w:line="240" w:lineRule="auto"/>
              <w:ind w:left="284" w:right="57"/>
              <w:rPr>
                <w:rFonts w:cs="Arial"/>
                <w:b/>
                <w:bCs/>
                <w:sz w:val="23"/>
                <w:szCs w:val="23"/>
              </w:rPr>
            </w:pPr>
            <w:r w:rsidRPr="005D3F82">
              <w:rPr>
                <w:rFonts w:cs="Arial"/>
                <w:b/>
                <w:bCs/>
                <w:szCs w:val="24"/>
                <w:u w:val="single"/>
              </w:rPr>
              <w:t>Action 1</w:t>
            </w:r>
            <w:r w:rsidRPr="00913D81">
              <w:rPr>
                <w:rFonts w:cs="Arial"/>
                <w:szCs w:val="24"/>
              </w:rPr>
              <w:t> : Amélioration de la gestion des ressources en eau pour des usages multiples (agriculture, transport, production et distribution d’énergie hydroélectrique)</w:t>
            </w:r>
          </w:p>
        </w:tc>
        <w:tc>
          <w:tcPr>
            <w:tcW w:w="4530" w:type="dxa"/>
          </w:tcPr>
          <w:p w14:paraId="674835A2" w14:textId="39727755" w:rsidR="005D3F82" w:rsidRPr="0023292F" w:rsidRDefault="005D3F82" w:rsidP="005D3F82">
            <w:pPr>
              <w:tabs>
                <w:tab w:val="left" w:pos="950"/>
              </w:tabs>
              <w:spacing w:before="40" w:after="40" w:line="240" w:lineRule="auto"/>
              <w:ind w:left="284" w:right="57"/>
              <w:rPr>
                <w:rFonts w:cs="Arial"/>
                <w:bCs/>
                <w:sz w:val="23"/>
                <w:szCs w:val="23"/>
              </w:rPr>
            </w:pPr>
            <w:r w:rsidRPr="00913D81">
              <w:rPr>
                <w:rFonts w:cs="Arial"/>
                <w:bCs/>
                <w:szCs w:val="24"/>
              </w:rPr>
              <w:t xml:space="preserve">Accélérer les travaux de construction des barrages hydroélectriques de Sambangalou et de Gourbassi </w:t>
            </w:r>
          </w:p>
        </w:tc>
      </w:tr>
      <w:tr w:rsidR="005D3F82" w:rsidRPr="00AA7159" w14:paraId="76BC18AE" w14:textId="77777777" w:rsidTr="00A225D6">
        <w:tc>
          <w:tcPr>
            <w:tcW w:w="4530" w:type="dxa"/>
            <w:vMerge/>
          </w:tcPr>
          <w:p w14:paraId="6F920E4D" w14:textId="77777777" w:rsidR="005D3F82" w:rsidRPr="0023292F" w:rsidRDefault="005D3F82" w:rsidP="005D3F82">
            <w:pPr>
              <w:tabs>
                <w:tab w:val="left" w:pos="950"/>
              </w:tabs>
              <w:spacing w:before="40" w:after="40" w:line="240" w:lineRule="auto"/>
              <w:ind w:left="284" w:right="57" w:firstLine="709"/>
              <w:rPr>
                <w:rFonts w:cs="Arial"/>
                <w:b/>
                <w:bCs/>
                <w:sz w:val="23"/>
                <w:szCs w:val="23"/>
              </w:rPr>
            </w:pPr>
          </w:p>
        </w:tc>
        <w:tc>
          <w:tcPr>
            <w:tcW w:w="4530" w:type="dxa"/>
          </w:tcPr>
          <w:p w14:paraId="513B9B27" w14:textId="23B1E5B1" w:rsidR="005D3F82" w:rsidRPr="0023292F" w:rsidRDefault="005D3F82" w:rsidP="005D3F82">
            <w:pPr>
              <w:tabs>
                <w:tab w:val="left" w:pos="950"/>
              </w:tabs>
              <w:spacing w:before="40" w:after="40" w:line="240" w:lineRule="auto"/>
              <w:ind w:left="284" w:right="57"/>
              <w:rPr>
                <w:rFonts w:cs="Arial"/>
                <w:bCs/>
                <w:sz w:val="23"/>
                <w:szCs w:val="23"/>
              </w:rPr>
            </w:pPr>
            <w:r w:rsidRPr="00913D81">
              <w:rPr>
                <w:rFonts w:cs="Arial"/>
                <w:bCs/>
                <w:szCs w:val="24"/>
              </w:rPr>
              <w:t xml:space="preserve">Construire des aménagements hydro-agricoles au niveau des barrages pour renforcer la sécurité alimentaire </w:t>
            </w:r>
          </w:p>
        </w:tc>
      </w:tr>
      <w:tr w:rsidR="005D3F82" w:rsidRPr="00AA7159" w14:paraId="07819075" w14:textId="77777777" w:rsidTr="00A225D6">
        <w:tc>
          <w:tcPr>
            <w:tcW w:w="4530" w:type="dxa"/>
            <w:vMerge/>
          </w:tcPr>
          <w:p w14:paraId="290BD288" w14:textId="77777777" w:rsidR="005D3F82" w:rsidRPr="0023292F" w:rsidRDefault="005D3F82" w:rsidP="005D3F82">
            <w:pPr>
              <w:tabs>
                <w:tab w:val="left" w:pos="950"/>
              </w:tabs>
              <w:spacing w:before="40" w:after="40" w:line="240" w:lineRule="auto"/>
              <w:ind w:left="284" w:right="57" w:firstLine="709"/>
              <w:rPr>
                <w:rFonts w:cs="Arial"/>
                <w:b/>
                <w:bCs/>
                <w:sz w:val="23"/>
                <w:szCs w:val="23"/>
              </w:rPr>
            </w:pPr>
          </w:p>
        </w:tc>
        <w:tc>
          <w:tcPr>
            <w:tcW w:w="4530" w:type="dxa"/>
          </w:tcPr>
          <w:p w14:paraId="4598870B" w14:textId="06EDF44F" w:rsidR="005D3F82" w:rsidRPr="0023292F" w:rsidRDefault="005D3F82" w:rsidP="005D3F82">
            <w:pPr>
              <w:tabs>
                <w:tab w:val="left" w:pos="950"/>
              </w:tabs>
              <w:spacing w:before="40" w:after="40" w:line="240" w:lineRule="auto"/>
              <w:ind w:left="284" w:right="57"/>
              <w:rPr>
                <w:rFonts w:cs="Arial"/>
                <w:bCs/>
                <w:sz w:val="23"/>
                <w:szCs w:val="23"/>
              </w:rPr>
            </w:pPr>
            <w:r w:rsidRPr="00913D81">
              <w:rPr>
                <w:rFonts w:cs="Arial"/>
                <w:bCs/>
                <w:szCs w:val="24"/>
              </w:rPr>
              <w:t>Renforcer la coopération avec les pays frontaliers en matière de gestion commune des ressources hydriques, halieutiques et environnementales</w:t>
            </w:r>
          </w:p>
        </w:tc>
      </w:tr>
      <w:tr w:rsidR="005D3F82" w:rsidRPr="00AA7159" w14:paraId="5BAB1EF9" w14:textId="77777777" w:rsidTr="00A225D6">
        <w:tc>
          <w:tcPr>
            <w:tcW w:w="4530" w:type="dxa"/>
            <w:vMerge w:val="restart"/>
          </w:tcPr>
          <w:p w14:paraId="71C22448" w14:textId="77777777" w:rsidR="005D3F82" w:rsidRPr="00913D81" w:rsidRDefault="005D3F82" w:rsidP="005D3F82">
            <w:pPr>
              <w:spacing w:after="60"/>
              <w:ind w:left="284" w:right="57" w:firstLine="709"/>
              <w:rPr>
                <w:rFonts w:cs="Arial"/>
                <w:szCs w:val="24"/>
              </w:rPr>
            </w:pPr>
          </w:p>
          <w:p w14:paraId="3FF6D717" w14:textId="77777777" w:rsidR="005D3F82" w:rsidRPr="00913D81" w:rsidRDefault="005D3F82" w:rsidP="005D3F82">
            <w:pPr>
              <w:spacing w:after="60"/>
              <w:ind w:left="284" w:right="57" w:firstLine="709"/>
              <w:rPr>
                <w:rFonts w:cs="Arial"/>
                <w:szCs w:val="24"/>
              </w:rPr>
            </w:pPr>
          </w:p>
          <w:p w14:paraId="7BA66DC9" w14:textId="77777777" w:rsidR="005D3F82" w:rsidRPr="00913D81" w:rsidRDefault="005D3F82" w:rsidP="005D3F82">
            <w:pPr>
              <w:spacing w:after="60"/>
              <w:ind w:left="284" w:right="57" w:firstLine="709"/>
              <w:rPr>
                <w:rFonts w:cs="Arial"/>
                <w:szCs w:val="24"/>
              </w:rPr>
            </w:pPr>
          </w:p>
          <w:p w14:paraId="3ACEAF75" w14:textId="77777777" w:rsidR="005D3F82" w:rsidRPr="00913D81" w:rsidRDefault="005D3F82" w:rsidP="005D3F82">
            <w:pPr>
              <w:spacing w:after="60"/>
              <w:ind w:left="284" w:right="57" w:firstLine="709"/>
              <w:rPr>
                <w:rFonts w:cs="Arial"/>
                <w:szCs w:val="24"/>
              </w:rPr>
            </w:pPr>
          </w:p>
          <w:p w14:paraId="262DE3A9" w14:textId="77777777" w:rsidR="005D3F82" w:rsidRPr="00913D81" w:rsidRDefault="005D3F82" w:rsidP="005D3F82">
            <w:pPr>
              <w:spacing w:after="60"/>
              <w:ind w:left="284" w:right="57" w:firstLine="709"/>
              <w:rPr>
                <w:rFonts w:cs="Arial"/>
                <w:szCs w:val="24"/>
              </w:rPr>
            </w:pPr>
          </w:p>
          <w:p w14:paraId="4983A129" w14:textId="77777777" w:rsidR="005D3F82" w:rsidRPr="00913D81" w:rsidRDefault="005D3F82" w:rsidP="005D3F82">
            <w:pPr>
              <w:spacing w:after="60"/>
              <w:ind w:left="284" w:right="57" w:firstLine="709"/>
              <w:rPr>
                <w:rFonts w:cs="Arial"/>
                <w:szCs w:val="24"/>
              </w:rPr>
            </w:pPr>
          </w:p>
          <w:p w14:paraId="59CA88C5" w14:textId="77777777" w:rsidR="005D3F82" w:rsidRPr="00913D81" w:rsidRDefault="005D3F82" w:rsidP="005D3F82">
            <w:pPr>
              <w:spacing w:after="60"/>
              <w:ind w:left="284" w:right="57"/>
              <w:rPr>
                <w:rFonts w:cs="Arial"/>
                <w:szCs w:val="24"/>
              </w:rPr>
            </w:pPr>
            <w:r w:rsidRPr="005D3F82">
              <w:rPr>
                <w:rFonts w:cs="Arial"/>
                <w:b/>
                <w:bCs/>
                <w:szCs w:val="24"/>
                <w:u w:val="single"/>
              </w:rPr>
              <w:t>Action 2</w:t>
            </w:r>
            <w:r w:rsidRPr="00913D81">
              <w:rPr>
                <w:rFonts w:cs="Arial"/>
                <w:szCs w:val="24"/>
              </w:rPr>
              <w:t xml:space="preserve"> : Gestion inclusive et durable des ressources extractives et environnementales </w:t>
            </w:r>
          </w:p>
          <w:p w14:paraId="705592B2" w14:textId="77777777" w:rsidR="005D3F82" w:rsidRPr="0023292F" w:rsidRDefault="005D3F82" w:rsidP="005D3F82">
            <w:pPr>
              <w:tabs>
                <w:tab w:val="left" w:pos="950"/>
              </w:tabs>
              <w:spacing w:before="40" w:after="40" w:line="240" w:lineRule="auto"/>
              <w:ind w:left="284" w:right="57" w:firstLine="709"/>
              <w:rPr>
                <w:rFonts w:cs="Arial"/>
                <w:b/>
                <w:bCs/>
                <w:sz w:val="23"/>
                <w:szCs w:val="23"/>
              </w:rPr>
            </w:pPr>
          </w:p>
        </w:tc>
        <w:tc>
          <w:tcPr>
            <w:tcW w:w="4530" w:type="dxa"/>
          </w:tcPr>
          <w:p w14:paraId="26D1DA29" w14:textId="44497875" w:rsidR="005D3F82" w:rsidRPr="0023292F" w:rsidRDefault="005D3F82" w:rsidP="005D3F82">
            <w:pPr>
              <w:tabs>
                <w:tab w:val="left" w:pos="950"/>
              </w:tabs>
              <w:spacing w:before="40" w:after="40" w:line="240" w:lineRule="auto"/>
              <w:ind w:left="284" w:right="57"/>
              <w:rPr>
                <w:rFonts w:cs="Arial"/>
                <w:bCs/>
                <w:strike/>
                <w:color w:val="FF0000"/>
                <w:sz w:val="23"/>
                <w:szCs w:val="23"/>
              </w:rPr>
            </w:pPr>
            <w:r w:rsidRPr="00913D81">
              <w:rPr>
                <w:rFonts w:cs="Arial"/>
                <w:szCs w:val="24"/>
              </w:rPr>
              <w:t>Mettre en œuvre les dispositions régionales relatives à l’exploitation et à la gestion des ressources environnementales</w:t>
            </w:r>
          </w:p>
        </w:tc>
      </w:tr>
      <w:tr w:rsidR="005D3F82" w:rsidRPr="00AA7159" w14:paraId="4BE5CF37" w14:textId="77777777" w:rsidTr="00A225D6">
        <w:tc>
          <w:tcPr>
            <w:tcW w:w="4530" w:type="dxa"/>
            <w:vMerge/>
          </w:tcPr>
          <w:p w14:paraId="4ED02C9E" w14:textId="77777777" w:rsidR="005D3F82" w:rsidRPr="0023292F" w:rsidRDefault="005D3F82" w:rsidP="005D3F82">
            <w:pPr>
              <w:spacing w:before="40" w:after="40" w:line="240" w:lineRule="auto"/>
              <w:ind w:left="284" w:right="57" w:firstLine="709"/>
              <w:rPr>
                <w:rFonts w:cs="Arial"/>
                <w:sz w:val="23"/>
                <w:szCs w:val="23"/>
              </w:rPr>
            </w:pPr>
          </w:p>
        </w:tc>
        <w:tc>
          <w:tcPr>
            <w:tcW w:w="4530" w:type="dxa"/>
          </w:tcPr>
          <w:p w14:paraId="234C9466" w14:textId="5D3E5963" w:rsidR="005D3F82" w:rsidRPr="0023292F" w:rsidRDefault="005D3F82" w:rsidP="005D3F82">
            <w:pPr>
              <w:tabs>
                <w:tab w:val="left" w:pos="950"/>
              </w:tabs>
              <w:spacing w:before="40" w:after="40" w:line="240" w:lineRule="auto"/>
              <w:ind w:left="284" w:right="57"/>
              <w:rPr>
                <w:rFonts w:cs="Arial"/>
                <w:b/>
                <w:bCs/>
                <w:sz w:val="23"/>
                <w:szCs w:val="23"/>
              </w:rPr>
            </w:pPr>
            <w:r w:rsidRPr="00913D81">
              <w:rPr>
                <w:rFonts w:cs="Arial"/>
                <w:szCs w:val="24"/>
              </w:rPr>
              <w:t>Mettre en œuvre les dispositions régionales relatives à l’exploitation et à la gestion des ressources extractives (contenu local, orpaillage, RSE, etc.)</w:t>
            </w:r>
          </w:p>
        </w:tc>
      </w:tr>
      <w:tr w:rsidR="005D3F82" w:rsidRPr="00AA7159" w14:paraId="6699A5FF" w14:textId="77777777" w:rsidTr="00A225D6">
        <w:tc>
          <w:tcPr>
            <w:tcW w:w="4530" w:type="dxa"/>
            <w:vMerge/>
          </w:tcPr>
          <w:p w14:paraId="4A4B59BB" w14:textId="77777777" w:rsidR="005D3F82" w:rsidRPr="0023292F" w:rsidRDefault="005D3F82" w:rsidP="005D3F82">
            <w:pPr>
              <w:spacing w:before="40" w:after="40" w:line="240" w:lineRule="auto"/>
              <w:ind w:left="284" w:right="57" w:firstLine="709"/>
              <w:rPr>
                <w:rFonts w:cs="Arial"/>
                <w:sz w:val="23"/>
                <w:szCs w:val="23"/>
              </w:rPr>
            </w:pPr>
          </w:p>
        </w:tc>
        <w:tc>
          <w:tcPr>
            <w:tcW w:w="4530" w:type="dxa"/>
          </w:tcPr>
          <w:p w14:paraId="47BE323A" w14:textId="35E8787B" w:rsidR="005D3F82" w:rsidRPr="0023292F" w:rsidRDefault="005D3F82" w:rsidP="005D3F82">
            <w:pPr>
              <w:tabs>
                <w:tab w:val="left" w:pos="950"/>
              </w:tabs>
              <w:spacing w:before="40" w:after="40" w:line="240" w:lineRule="auto"/>
              <w:ind w:left="284" w:right="57"/>
              <w:rPr>
                <w:rFonts w:cs="Arial"/>
                <w:bCs/>
                <w:sz w:val="23"/>
                <w:szCs w:val="23"/>
              </w:rPr>
            </w:pPr>
            <w:r w:rsidRPr="00913D81">
              <w:rPr>
                <w:rFonts w:cs="Arial"/>
                <w:bCs/>
                <w:szCs w:val="24"/>
              </w:rPr>
              <w:t>Assurer une gestion optimale des ressources naturelles en zones frontalières afin d’éviter les conflits</w:t>
            </w:r>
          </w:p>
        </w:tc>
      </w:tr>
      <w:tr w:rsidR="005D3F82" w:rsidRPr="00AA7159" w14:paraId="643C73CC" w14:textId="77777777" w:rsidTr="00A225D6">
        <w:tc>
          <w:tcPr>
            <w:tcW w:w="4530" w:type="dxa"/>
            <w:vMerge/>
          </w:tcPr>
          <w:p w14:paraId="2F821A0E" w14:textId="77777777" w:rsidR="005D3F82" w:rsidRPr="0023292F" w:rsidRDefault="005D3F82" w:rsidP="005D3F82">
            <w:pPr>
              <w:spacing w:before="40" w:after="40" w:line="240" w:lineRule="auto"/>
              <w:ind w:left="284" w:right="57" w:firstLine="709"/>
              <w:rPr>
                <w:rFonts w:cs="Arial"/>
                <w:sz w:val="23"/>
                <w:szCs w:val="23"/>
              </w:rPr>
            </w:pPr>
          </w:p>
        </w:tc>
        <w:tc>
          <w:tcPr>
            <w:tcW w:w="4530" w:type="dxa"/>
          </w:tcPr>
          <w:p w14:paraId="2D2E4C93" w14:textId="1649667C" w:rsidR="005D3F82" w:rsidRPr="0023292F" w:rsidRDefault="005D3F82" w:rsidP="005D3F82">
            <w:pPr>
              <w:tabs>
                <w:tab w:val="left" w:pos="950"/>
              </w:tabs>
              <w:spacing w:before="40" w:after="40" w:line="240" w:lineRule="auto"/>
              <w:ind w:left="284" w:right="57"/>
              <w:rPr>
                <w:rFonts w:cs="Arial"/>
                <w:bCs/>
                <w:sz w:val="23"/>
                <w:szCs w:val="23"/>
              </w:rPr>
            </w:pPr>
            <w:r w:rsidRPr="00913D81">
              <w:rPr>
                <w:rFonts w:cs="Arial"/>
                <w:bCs/>
                <w:szCs w:val="24"/>
              </w:rPr>
              <w:t>Améliorer la gestion des écosystèmes protégés et des aires marines protégées</w:t>
            </w:r>
          </w:p>
        </w:tc>
      </w:tr>
      <w:tr w:rsidR="005D3F82" w:rsidRPr="00AA7159" w14:paraId="0FBEA457" w14:textId="77777777" w:rsidTr="00A225D6">
        <w:tc>
          <w:tcPr>
            <w:tcW w:w="4530" w:type="dxa"/>
            <w:vMerge/>
          </w:tcPr>
          <w:p w14:paraId="7E33557D" w14:textId="77777777" w:rsidR="005D3F82" w:rsidRPr="0023292F" w:rsidRDefault="005D3F82" w:rsidP="005D3F82">
            <w:pPr>
              <w:spacing w:before="40" w:after="40" w:line="240" w:lineRule="auto"/>
              <w:ind w:left="284" w:right="57" w:firstLine="709"/>
              <w:rPr>
                <w:rFonts w:cs="Arial"/>
                <w:sz w:val="23"/>
                <w:szCs w:val="23"/>
              </w:rPr>
            </w:pPr>
          </w:p>
        </w:tc>
        <w:tc>
          <w:tcPr>
            <w:tcW w:w="4530" w:type="dxa"/>
          </w:tcPr>
          <w:p w14:paraId="12638A55" w14:textId="64A9FE03" w:rsidR="005D3F82" w:rsidRPr="0023292F" w:rsidRDefault="005D3F82" w:rsidP="005D3F82">
            <w:pPr>
              <w:tabs>
                <w:tab w:val="left" w:pos="950"/>
              </w:tabs>
              <w:spacing w:before="40" w:after="40" w:line="240" w:lineRule="auto"/>
              <w:ind w:left="284" w:right="57"/>
              <w:rPr>
                <w:rFonts w:cs="Arial"/>
                <w:bCs/>
                <w:sz w:val="23"/>
                <w:szCs w:val="23"/>
              </w:rPr>
            </w:pPr>
            <w:r w:rsidRPr="00913D81">
              <w:rPr>
                <w:rFonts w:cs="Arial"/>
                <w:bCs/>
                <w:szCs w:val="24"/>
              </w:rPr>
              <w:t>Renforcer les moyens de conservation et de gestion des parcs nationaux</w:t>
            </w:r>
          </w:p>
        </w:tc>
      </w:tr>
      <w:tr w:rsidR="005D3F82" w:rsidRPr="00AA7159" w14:paraId="03C9600C" w14:textId="77777777" w:rsidTr="00A225D6">
        <w:tc>
          <w:tcPr>
            <w:tcW w:w="4530" w:type="dxa"/>
            <w:vMerge w:val="restart"/>
          </w:tcPr>
          <w:p w14:paraId="7875F626" w14:textId="77777777" w:rsidR="005D3F82" w:rsidRPr="00913D81" w:rsidRDefault="005D3F82" w:rsidP="005D3F82">
            <w:pPr>
              <w:spacing w:after="60"/>
              <w:ind w:left="284" w:right="57" w:firstLine="709"/>
              <w:rPr>
                <w:rFonts w:cs="Arial"/>
                <w:szCs w:val="24"/>
              </w:rPr>
            </w:pPr>
          </w:p>
          <w:p w14:paraId="6071152D" w14:textId="77777777" w:rsidR="005D3F82" w:rsidRPr="00913D81" w:rsidRDefault="005D3F82" w:rsidP="005D3F82">
            <w:pPr>
              <w:spacing w:after="60"/>
              <w:ind w:left="284" w:right="57" w:firstLine="709"/>
              <w:rPr>
                <w:rFonts w:cs="Arial"/>
                <w:szCs w:val="24"/>
              </w:rPr>
            </w:pPr>
          </w:p>
          <w:p w14:paraId="1FB35FB2" w14:textId="6D464579" w:rsidR="005D3F82" w:rsidRPr="0023292F" w:rsidRDefault="005D3F82" w:rsidP="005D3F82">
            <w:pPr>
              <w:spacing w:before="40" w:after="40" w:line="240" w:lineRule="auto"/>
              <w:ind w:left="284" w:right="57"/>
              <w:rPr>
                <w:rFonts w:cs="Arial"/>
                <w:sz w:val="23"/>
                <w:szCs w:val="23"/>
              </w:rPr>
            </w:pPr>
            <w:r w:rsidRPr="005D3F82">
              <w:rPr>
                <w:rFonts w:cs="Arial"/>
                <w:b/>
                <w:bCs/>
                <w:szCs w:val="24"/>
                <w:u w:val="single"/>
              </w:rPr>
              <w:t>Action 3</w:t>
            </w:r>
            <w:r w:rsidRPr="00913D81">
              <w:rPr>
                <w:rFonts w:cs="Arial"/>
                <w:szCs w:val="24"/>
              </w:rPr>
              <w:t> : Renforcement de la gestion (prévention) des risques de catastrophes.</w:t>
            </w:r>
          </w:p>
        </w:tc>
        <w:tc>
          <w:tcPr>
            <w:tcW w:w="4530" w:type="dxa"/>
          </w:tcPr>
          <w:p w14:paraId="3F6AEB15" w14:textId="3A1BB9C8" w:rsidR="005D3F82" w:rsidRPr="0023292F" w:rsidRDefault="005D3F82" w:rsidP="005D3F82">
            <w:pPr>
              <w:tabs>
                <w:tab w:val="left" w:pos="950"/>
              </w:tabs>
              <w:spacing w:before="40" w:after="40" w:line="240" w:lineRule="auto"/>
              <w:ind w:left="284" w:right="57"/>
              <w:rPr>
                <w:rFonts w:cs="Arial"/>
                <w:bCs/>
                <w:sz w:val="23"/>
                <w:szCs w:val="23"/>
              </w:rPr>
            </w:pPr>
            <w:r w:rsidRPr="00913D81">
              <w:rPr>
                <w:rFonts w:cs="Arial"/>
                <w:bCs/>
                <w:szCs w:val="24"/>
              </w:rPr>
              <w:t>Mettre en œuvre les dispositions régionales en matière de prévention et de gestion des risques de catastrophes</w:t>
            </w:r>
          </w:p>
        </w:tc>
      </w:tr>
      <w:tr w:rsidR="005D3F82" w:rsidRPr="00AA7159" w14:paraId="7D146833" w14:textId="77777777" w:rsidTr="00A225D6">
        <w:tc>
          <w:tcPr>
            <w:tcW w:w="4530" w:type="dxa"/>
            <w:vMerge/>
          </w:tcPr>
          <w:p w14:paraId="5F76508C" w14:textId="77777777" w:rsidR="005D3F82" w:rsidRPr="0023292F" w:rsidRDefault="005D3F82" w:rsidP="005D3F82">
            <w:pPr>
              <w:spacing w:before="40" w:after="40" w:line="240" w:lineRule="auto"/>
              <w:ind w:left="284" w:right="57" w:firstLine="709"/>
              <w:rPr>
                <w:rFonts w:cs="Arial"/>
                <w:sz w:val="23"/>
                <w:szCs w:val="23"/>
              </w:rPr>
            </w:pPr>
          </w:p>
        </w:tc>
        <w:tc>
          <w:tcPr>
            <w:tcW w:w="4530" w:type="dxa"/>
          </w:tcPr>
          <w:p w14:paraId="58FD00CC" w14:textId="71421B2E" w:rsidR="005D3F82" w:rsidRPr="0023292F" w:rsidRDefault="005D3F82" w:rsidP="005D3F82">
            <w:pPr>
              <w:tabs>
                <w:tab w:val="left" w:pos="950"/>
              </w:tabs>
              <w:spacing w:before="40" w:after="40" w:line="240" w:lineRule="auto"/>
              <w:ind w:left="284" w:right="57"/>
              <w:rPr>
                <w:rFonts w:cs="Arial"/>
                <w:bCs/>
                <w:sz w:val="23"/>
                <w:szCs w:val="23"/>
              </w:rPr>
            </w:pPr>
            <w:r w:rsidRPr="00913D81">
              <w:rPr>
                <w:rFonts w:cs="Arial"/>
                <w:bCs/>
                <w:szCs w:val="24"/>
              </w:rPr>
              <w:t>Elaborer et opérationnaliser la stratégie et le plan d’actions en matière de gestion des risques de catastrophe</w:t>
            </w:r>
          </w:p>
        </w:tc>
      </w:tr>
    </w:tbl>
    <w:p w14:paraId="7A221B1A" w14:textId="42ACA633" w:rsidR="0023292F" w:rsidRDefault="0023292F" w:rsidP="008018B7">
      <w:pPr>
        <w:tabs>
          <w:tab w:val="left" w:pos="950"/>
        </w:tabs>
        <w:spacing w:before="120" w:after="100" w:afterAutospacing="1"/>
        <w:ind w:right="57"/>
        <w:rPr>
          <w:rFonts w:cs="Arial"/>
          <w:b/>
          <w:bCs/>
          <w:szCs w:val="24"/>
        </w:rPr>
      </w:pPr>
    </w:p>
    <w:p w14:paraId="7470C7B8" w14:textId="77777777" w:rsidR="0023292F" w:rsidRDefault="0023292F">
      <w:pPr>
        <w:spacing w:after="160" w:line="259" w:lineRule="auto"/>
        <w:jc w:val="left"/>
        <w:rPr>
          <w:rFonts w:cs="Arial"/>
          <w:b/>
          <w:bCs/>
          <w:szCs w:val="24"/>
        </w:rPr>
      </w:pPr>
      <w:r>
        <w:rPr>
          <w:rFonts w:cs="Arial"/>
          <w:b/>
          <w:bCs/>
          <w:szCs w:val="24"/>
        </w:rPr>
        <w:br w:type="page"/>
      </w:r>
    </w:p>
    <w:p w14:paraId="6C747B1E" w14:textId="750A7659" w:rsidR="008018B7" w:rsidRDefault="0077672F" w:rsidP="0077672F">
      <w:pPr>
        <w:pStyle w:val="Titre3"/>
      </w:pPr>
      <w:bookmarkStart w:id="109" w:name="_Toc135140203"/>
      <w:r>
        <w:rPr>
          <w:u w:val="single"/>
        </w:rPr>
        <w:lastRenderedPageBreak/>
        <w:t>ANNEXE 2</w:t>
      </w:r>
      <w:r>
        <w:t> : Plan d’actions</w:t>
      </w:r>
      <w:bookmarkEnd w:id="109"/>
    </w:p>
    <w:tbl>
      <w:tblPr>
        <w:tblW w:w="9498" w:type="dxa"/>
        <w:tblInd w:w="-5" w:type="dxa"/>
        <w:tblLayout w:type="fixed"/>
        <w:tblCellMar>
          <w:left w:w="70" w:type="dxa"/>
          <w:right w:w="70" w:type="dxa"/>
        </w:tblCellMar>
        <w:tblLook w:val="04A0" w:firstRow="1" w:lastRow="0" w:firstColumn="1" w:lastColumn="0" w:noHBand="0" w:noVBand="1"/>
      </w:tblPr>
      <w:tblGrid>
        <w:gridCol w:w="1086"/>
        <w:gridCol w:w="1025"/>
        <w:gridCol w:w="1704"/>
        <w:gridCol w:w="410"/>
        <w:gridCol w:w="325"/>
        <w:gridCol w:w="314"/>
        <w:gridCol w:w="316"/>
        <w:gridCol w:w="818"/>
        <w:gridCol w:w="1515"/>
        <w:gridCol w:w="1985"/>
      </w:tblGrid>
      <w:tr w:rsidR="0077672F" w:rsidRPr="00FC2505" w14:paraId="72961A67" w14:textId="77777777" w:rsidTr="0077672F">
        <w:trPr>
          <w:trHeight w:val="273"/>
        </w:trPr>
        <w:tc>
          <w:tcPr>
            <w:tcW w:w="9498" w:type="dxa"/>
            <w:gridSpan w:val="10"/>
            <w:tcBorders>
              <w:top w:val="single" w:sz="4" w:space="0" w:color="auto"/>
              <w:left w:val="single" w:sz="4" w:space="0" w:color="auto"/>
              <w:bottom w:val="single" w:sz="4" w:space="0" w:color="auto"/>
              <w:right w:val="single" w:sz="4" w:space="0" w:color="auto"/>
            </w:tcBorders>
            <w:shd w:val="clear" w:color="000000" w:fill="D9D9D9"/>
            <w:vAlign w:val="bottom"/>
            <w:hideMark/>
          </w:tcPr>
          <w:p w14:paraId="37864992" w14:textId="77777777" w:rsidR="0077672F" w:rsidRPr="00FC2505" w:rsidRDefault="0077672F" w:rsidP="0077672F">
            <w:pPr>
              <w:spacing w:after="60"/>
              <w:jc w:val="center"/>
              <w:rPr>
                <w:rFonts w:eastAsia="Times New Roman" w:cs="Arial"/>
                <w:b/>
                <w:bCs/>
                <w:color w:val="000000"/>
                <w:sz w:val="26"/>
                <w:szCs w:val="26"/>
                <w:lang w:eastAsia="fr-FR"/>
              </w:rPr>
            </w:pPr>
          </w:p>
          <w:p w14:paraId="35C1250E" w14:textId="77777777" w:rsidR="0077672F" w:rsidRPr="00FC2505" w:rsidRDefault="0077672F" w:rsidP="0077672F">
            <w:pPr>
              <w:spacing w:after="60"/>
              <w:jc w:val="center"/>
              <w:rPr>
                <w:rFonts w:eastAsia="Times New Roman" w:cs="Arial"/>
                <w:b/>
                <w:bCs/>
                <w:color w:val="000000"/>
                <w:sz w:val="26"/>
                <w:szCs w:val="26"/>
                <w:lang w:eastAsia="fr-FR"/>
              </w:rPr>
            </w:pPr>
            <w:r w:rsidRPr="00FC2505">
              <w:rPr>
                <w:rFonts w:eastAsia="Times New Roman" w:cs="Arial"/>
                <w:b/>
                <w:bCs/>
                <w:color w:val="000000"/>
                <w:sz w:val="26"/>
                <w:szCs w:val="26"/>
                <w:lang w:eastAsia="fr-FR"/>
              </w:rPr>
              <w:t>PLAN D'ACTIONS STRATEGIE NATIONALE D’INTEGRATION REGIONALE</w:t>
            </w:r>
          </w:p>
          <w:p w14:paraId="0E1FBCAE" w14:textId="77777777" w:rsidR="0077672F" w:rsidRPr="00FC2505" w:rsidRDefault="0077672F" w:rsidP="0077672F">
            <w:pPr>
              <w:spacing w:after="60"/>
              <w:jc w:val="center"/>
              <w:rPr>
                <w:rFonts w:eastAsia="Times New Roman" w:cs="Arial"/>
                <w:b/>
                <w:bCs/>
                <w:color w:val="000000"/>
                <w:sz w:val="26"/>
                <w:szCs w:val="26"/>
                <w:lang w:eastAsia="fr-FR"/>
              </w:rPr>
            </w:pPr>
          </w:p>
        </w:tc>
      </w:tr>
      <w:tr w:rsidR="0077672F" w:rsidRPr="006B0D8A" w14:paraId="35D63A72" w14:textId="77777777" w:rsidTr="0077672F">
        <w:trPr>
          <w:trHeight w:val="434"/>
        </w:trPr>
        <w:tc>
          <w:tcPr>
            <w:tcW w:w="1086" w:type="dxa"/>
            <w:vMerge w:val="restart"/>
            <w:tcBorders>
              <w:top w:val="nil"/>
              <w:left w:val="single" w:sz="4" w:space="0" w:color="auto"/>
              <w:bottom w:val="single" w:sz="4" w:space="0" w:color="auto"/>
              <w:right w:val="single" w:sz="4" w:space="0" w:color="auto"/>
            </w:tcBorders>
            <w:shd w:val="clear" w:color="auto" w:fill="auto"/>
            <w:vAlign w:val="center"/>
            <w:hideMark/>
          </w:tcPr>
          <w:p w14:paraId="037FCE4B"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Résultats attendus</w:t>
            </w:r>
          </w:p>
        </w:tc>
        <w:tc>
          <w:tcPr>
            <w:tcW w:w="1025" w:type="dxa"/>
            <w:vMerge w:val="restart"/>
            <w:tcBorders>
              <w:top w:val="nil"/>
              <w:left w:val="single" w:sz="4" w:space="0" w:color="auto"/>
              <w:bottom w:val="single" w:sz="4" w:space="0" w:color="auto"/>
              <w:right w:val="single" w:sz="4" w:space="0" w:color="auto"/>
            </w:tcBorders>
            <w:shd w:val="clear" w:color="auto" w:fill="auto"/>
            <w:vAlign w:val="center"/>
            <w:hideMark/>
          </w:tcPr>
          <w:p w14:paraId="5919C3E0"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 xml:space="preserve">Actions </w:t>
            </w:r>
          </w:p>
        </w:tc>
        <w:tc>
          <w:tcPr>
            <w:tcW w:w="1704" w:type="dxa"/>
            <w:vMerge w:val="restart"/>
            <w:tcBorders>
              <w:top w:val="nil"/>
              <w:left w:val="single" w:sz="4" w:space="0" w:color="auto"/>
              <w:bottom w:val="single" w:sz="4" w:space="0" w:color="auto"/>
              <w:right w:val="single" w:sz="4" w:space="0" w:color="auto"/>
            </w:tcBorders>
            <w:shd w:val="clear" w:color="auto" w:fill="auto"/>
            <w:vAlign w:val="center"/>
            <w:hideMark/>
          </w:tcPr>
          <w:p w14:paraId="4C7C3DCB"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 xml:space="preserve">Activités </w:t>
            </w:r>
          </w:p>
        </w:tc>
        <w:tc>
          <w:tcPr>
            <w:tcW w:w="1365" w:type="dxa"/>
            <w:gridSpan w:val="4"/>
            <w:tcBorders>
              <w:top w:val="single" w:sz="4" w:space="0" w:color="auto"/>
              <w:left w:val="nil"/>
              <w:bottom w:val="single" w:sz="4" w:space="0" w:color="auto"/>
              <w:right w:val="single" w:sz="4" w:space="0" w:color="auto"/>
            </w:tcBorders>
            <w:shd w:val="clear" w:color="auto" w:fill="auto"/>
            <w:vAlign w:val="center"/>
            <w:hideMark/>
          </w:tcPr>
          <w:p w14:paraId="555B7148"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Chronogramme</w:t>
            </w:r>
          </w:p>
        </w:tc>
        <w:tc>
          <w:tcPr>
            <w:tcW w:w="818" w:type="dxa"/>
            <w:tcBorders>
              <w:top w:val="nil"/>
              <w:left w:val="nil"/>
              <w:bottom w:val="single" w:sz="4" w:space="0" w:color="auto"/>
              <w:right w:val="single" w:sz="4" w:space="0" w:color="auto"/>
            </w:tcBorders>
            <w:shd w:val="clear" w:color="auto" w:fill="auto"/>
            <w:vAlign w:val="bottom"/>
            <w:hideMark/>
          </w:tcPr>
          <w:p w14:paraId="3015BD8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single" w:sz="4" w:space="0" w:color="auto"/>
              <w:bottom w:val="single" w:sz="4" w:space="0" w:color="auto"/>
              <w:right w:val="single" w:sz="4" w:space="0" w:color="auto"/>
            </w:tcBorders>
            <w:shd w:val="clear" w:color="auto" w:fill="auto"/>
            <w:vAlign w:val="center"/>
            <w:hideMark/>
          </w:tcPr>
          <w:p w14:paraId="4D1402B6"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Acteurs impliqués</w:t>
            </w:r>
          </w:p>
        </w:tc>
        <w:tc>
          <w:tcPr>
            <w:tcW w:w="1985" w:type="dxa"/>
            <w:tcBorders>
              <w:top w:val="nil"/>
              <w:left w:val="single" w:sz="4" w:space="0" w:color="auto"/>
              <w:bottom w:val="single" w:sz="4" w:space="0" w:color="auto"/>
              <w:right w:val="single" w:sz="4" w:space="0" w:color="auto"/>
            </w:tcBorders>
            <w:shd w:val="clear" w:color="auto" w:fill="auto"/>
            <w:vAlign w:val="center"/>
            <w:hideMark/>
          </w:tcPr>
          <w:p w14:paraId="13B8DBD5"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Hypothèse/risque</w:t>
            </w:r>
          </w:p>
        </w:tc>
      </w:tr>
      <w:tr w:rsidR="0077672F" w:rsidRPr="006B0D8A" w14:paraId="78034819" w14:textId="77777777" w:rsidTr="0077672F">
        <w:trPr>
          <w:trHeight w:val="273"/>
        </w:trPr>
        <w:tc>
          <w:tcPr>
            <w:tcW w:w="1086" w:type="dxa"/>
            <w:vMerge/>
            <w:tcBorders>
              <w:top w:val="nil"/>
              <w:left w:val="single" w:sz="4" w:space="0" w:color="auto"/>
              <w:bottom w:val="single" w:sz="4" w:space="0" w:color="auto"/>
              <w:right w:val="single" w:sz="4" w:space="0" w:color="auto"/>
            </w:tcBorders>
            <w:vAlign w:val="center"/>
            <w:hideMark/>
          </w:tcPr>
          <w:p w14:paraId="768CE680" w14:textId="77777777" w:rsidR="0077672F" w:rsidRPr="006B0D8A" w:rsidRDefault="0077672F" w:rsidP="0077672F">
            <w:pPr>
              <w:spacing w:after="60"/>
              <w:rPr>
                <w:rFonts w:eastAsia="Times New Roman" w:cs="Arial"/>
                <w:b/>
                <w:bCs/>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1673BA75" w14:textId="77777777" w:rsidR="0077672F" w:rsidRPr="006B0D8A" w:rsidRDefault="0077672F" w:rsidP="0077672F">
            <w:pPr>
              <w:spacing w:after="60"/>
              <w:rPr>
                <w:rFonts w:eastAsia="Times New Roman" w:cs="Arial"/>
                <w:b/>
                <w:bCs/>
                <w:color w:val="000000"/>
                <w:sz w:val="18"/>
                <w:szCs w:val="18"/>
                <w:lang w:eastAsia="fr-FR"/>
              </w:rPr>
            </w:pPr>
          </w:p>
        </w:tc>
        <w:tc>
          <w:tcPr>
            <w:tcW w:w="1704" w:type="dxa"/>
            <w:vMerge/>
            <w:tcBorders>
              <w:top w:val="nil"/>
              <w:left w:val="single" w:sz="4" w:space="0" w:color="auto"/>
              <w:bottom w:val="single" w:sz="4" w:space="0" w:color="auto"/>
              <w:right w:val="single" w:sz="4" w:space="0" w:color="auto"/>
            </w:tcBorders>
            <w:vAlign w:val="center"/>
            <w:hideMark/>
          </w:tcPr>
          <w:p w14:paraId="70C4DB04" w14:textId="77777777" w:rsidR="0077672F" w:rsidRPr="006B0D8A" w:rsidRDefault="0077672F" w:rsidP="0077672F">
            <w:pPr>
              <w:spacing w:after="60"/>
              <w:rPr>
                <w:rFonts w:eastAsia="Times New Roman" w:cs="Arial"/>
                <w:b/>
                <w:bCs/>
                <w:color w:val="000000"/>
                <w:sz w:val="18"/>
                <w:szCs w:val="18"/>
                <w:lang w:eastAsia="fr-FR"/>
              </w:rPr>
            </w:pPr>
          </w:p>
        </w:tc>
        <w:tc>
          <w:tcPr>
            <w:tcW w:w="410" w:type="dxa"/>
            <w:tcBorders>
              <w:top w:val="nil"/>
              <w:left w:val="nil"/>
              <w:bottom w:val="single" w:sz="4" w:space="0" w:color="auto"/>
              <w:right w:val="single" w:sz="4" w:space="0" w:color="auto"/>
            </w:tcBorders>
            <w:shd w:val="clear" w:color="auto" w:fill="auto"/>
            <w:vAlign w:val="bottom"/>
            <w:hideMark/>
          </w:tcPr>
          <w:p w14:paraId="4B13115A"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T1</w:t>
            </w:r>
          </w:p>
        </w:tc>
        <w:tc>
          <w:tcPr>
            <w:tcW w:w="325" w:type="dxa"/>
            <w:tcBorders>
              <w:top w:val="nil"/>
              <w:left w:val="nil"/>
              <w:bottom w:val="single" w:sz="4" w:space="0" w:color="auto"/>
              <w:right w:val="single" w:sz="4" w:space="0" w:color="auto"/>
            </w:tcBorders>
            <w:shd w:val="clear" w:color="auto" w:fill="auto"/>
            <w:vAlign w:val="bottom"/>
            <w:hideMark/>
          </w:tcPr>
          <w:p w14:paraId="358D8EED"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T2</w:t>
            </w:r>
          </w:p>
        </w:tc>
        <w:tc>
          <w:tcPr>
            <w:tcW w:w="314" w:type="dxa"/>
            <w:tcBorders>
              <w:top w:val="nil"/>
              <w:left w:val="nil"/>
              <w:bottom w:val="single" w:sz="4" w:space="0" w:color="auto"/>
              <w:right w:val="single" w:sz="4" w:space="0" w:color="auto"/>
            </w:tcBorders>
            <w:shd w:val="clear" w:color="auto" w:fill="auto"/>
            <w:vAlign w:val="bottom"/>
            <w:hideMark/>
          </w:tcPr>
          <w:p w14:paraId="12B0DCC9"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T3</w:t>
            </w:r>
          </w:p>
        </w:tc>
        <w:tc>
          <w:tcPr>
            <w:tcW w:w="316" w:type="dxa"/>
            <w:tcBorders>
              <w:top w:val="nil"/>
              <w:left w:val="nil"/>
              <w:bottom w:val="single" w:sz="4" w:space="0" w:color="auto"/>
              <w:right w:val="single" w:sz="4" w:space="0" w:color="auto"/>
            </w:tcBorders>
            <w:shd w:val="clear" w:color="auto" w:fill="auto"/>
            <w:vAlign w:val="bottom"/>
            <w:hideMark/>
          </w:tcPr>
          <w:p w14:paraId="2612D7D3"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T4</w:t>
            </w:r>
          </w:p>
        </w:tc>
        <w:tc>
          <w:tcPr>
            <w:tcW w:w="818" w:type="dxa"/>
            <w:tcBorders>
              <w:top w:val="nil"/>
              <w:left w:val="nil"/>
              <w:bottom w:val="single" w:sz="4" w:space="0" w:color="auto"/>
              <w:right w:val="single" w:sz="4" w:space="0" w:color="auto"/>
            </w:tcBorders>
            <w:shd w:val="clear" w:color="auto" w:fill="auto"/>
            <w:vAlign w:val="center"/>
            <w:hideMark/>
          </w:tcPr>
          <w:p w14:paraId="3BEE7419"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Resp.</w:t>
            </w:r>
          </w:p>
        </w:tc>
        <w:tc>
          <w:tcPr>
            <w:tcW w:w="1515" w:type="dxa"/>
            <w:tcBorders>
              <w:top w:val="nil"/>
              <w:left w:val="single" w:sz="4" w:space="0" w:color="auto"/>
              <w:bottom w:val="single" w:sz="4" w:space="0" w:color="auto"/>
              <w:right w:val="single" w:sz="4" w:space="0" w:color="auto"/>
            </w:tcBorders>
            <w:vAlign w:val="center"/>
            <w:hideMark/>
          </w:tcPr>
          <w:p w14:paraId="45E8B0A2" w14:textId="77777777" w:rsidR="0077672F" w:rsidRPr="006B0D8A" w:rsidRDefault="0077672F" w:rsidP="0077672F">
            <w:pPr>
              <w:spacing w:after="60"/>
              <w:rPr>
                <w:rFonts w:eastAsia="Times New Roman" w:cs="Arial"/>
                <w:b/>
                <w:bCs/>
                <w:color w:val="000000"/>
                <w:sz w:val="18"/>
                <w:szCs w:val="18"/>
                <w:lang w:eastAsia="fr-FR"/>
              </w:rPr>
            </w:pPr>
          </w:p>
        </w:tc>
        <w:tc>
          <w:tcPr>
            <w:tcW w:w="1985" w:type="dxa"/>
            <w:tcBorders>
              <w:top w:val="nil"/>
              <w:left w:val="single" w:sz="4" w:space="0" w:color="auto"/>
              <w:bottom w:val="single" w:sz="4" w:space="0" w:color="auto"/>
              <w:right w:val="single" w:sz="4" w:space="0" w:color="auto"/>
            </w:tcBorders>
            <w:vAlign w:val="center"/>
            <w:hideMark/>
          </w:tcPr>
          <w:p w14:paraId="0ACD109F" w14:textId="77777777" w:rsidR="0077672F" w:rsidRPr="006B0D8A" w:rsidRDefault="0077672F" w:rsidP="0077672F">
            <w:pPr>
              <w:spacing w:after="60"/>
              <w:rPr>
                <w:rFonts w:eastAsia="Times New Roman" w:cs="Arial"/>
                <w:b/>
                <w:bCs/>
                <w:color w:val="000000"/>
                <w:sz w:val="18"/>
                <w:szCs w:val="18"/>
                <w:lang w:eastAsia="fr-FR"/>
              </w:rPr>
            </w:pPr>
          </w:p>
        </w:tc>
      </w:tr>
      <w:tr w:rsidR="0077672F" w:rsidRPr="006B0D8A" w14:paraId="4BCF86DB" w14:textId="77777777" w:rsidTr="0077672F">
        <w:trPr>
          <w:trHeight w:val="273"/>
        </w:trPr>
        <w:tc>
          <w:tcPr>
            <w:tcW w:w="9498" w:type="dxa"/>
            <w:gridSpan w:val="10"/>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30F1EAF5"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Résultat ultime :</w:t>
            </w:r>
          </w:p>
        </w:tc>
      </w:tr>
      <w:tr w:rsidR="0077672F" w:rsidRPr="0077672F" w14:paraId="765E21F5" w14:textId="77777777" w:rsidTr="0077672F">
        <w:trPr>
          <w:trHeight w:val="420"/>
        </w:trPr>
        <w:tc>
          <w:tcPr>
            <w:tcW w:w="9498" w:type="dxa"/>
            <w:gridSpan w:val="10"/>
            <w:tcBorders>
              <w:top w:val="single" w:sz="4" w:space="0" w:color="auto"/>
              <w:left w:val="single" w:sz="4" w:space="0" w:color="auto"/>
              <w:bottom w:val="single" w:sz="4" w:space="0" w:color="auto"/>
              <w:right w:val="single" w:sz="4" w:space="0" w:color="auto"/>
            </w:tcBorders>
            <w:shd w:val="clear" w:color="auto" w:fill="EDEDED" w:themeFill="accent3" w:themeFillTint="33"/>
            <w:noWrap/>
            <w:vAlign w:val="center"/>
            <w:hideMark/>
          </w:tcPr>
          <w:p w14:paraId="73754ED4" w14:textId="77777777" w:rsidR="0077672F" w:rsidRPr="0077672F" w:rsidRDefault="0077672F" w:rsidP="0077672F">
            <w:pPr>
              <w:spacing w:after="60"/>
              <w:jc w:val="center"/>
              <w:rPr>
                <w:rFonts w:eastAsia="Times New Roman" w:cs="Arial"/>
                <w:b/>
                <w:bCs/>
                <w:color w:val="000000"/>
                <w:sz w:val="22"/>
                <w:lang w:eastAsia="fr-FR"/>
              </w:rPr>
            </w:pPr>
            <w:r w:rsidRPr="0077672F">
              <w:rPr>
                <w:rFonts w:eastAsia="Times New Roman" w:cs="Arial"/>
                <w:b/>
                <w:bCs/>
                <w:color w:val="000000"/>
                <w:sz w:val="22"/>
                <w:lang w:eastAsia="fr-FR"/>
              </w:rPr>
              <w:t>Résultat intermédiaire 1. Gouvernance de l’intégration régionale</w:t>
            </w:r>
          </w:p>
        </w:tc>
      </w:tr>
      <w:tr w:rsidR="0077672F" w:rsidRPr="0077672F" w14:paraId="6B5C5DF2" w14:textId="77777777" w:rsidTr="0077672F">
        <w:trPr>
          <w:trHeight w:val="521"/>
        </w:trPr>
        <w:tc>
          <w:tcPr>
            <w:tcW w:w="9498" w:type="dxa"/>
            <w:gridSpan w:val="10"/>
            <w:tcBorders>
              <w:top w:val="single" w:sz="4" w:space="0" w:color="auto"/>
              <w:left w:val="single" w:sz="4" w:space="0" w:color="auto"/>
              <w:bottom w:val="single" w:sz="4" w:space="0" w:color="auto"/>
              <w:right w:val="single" w:sz="4" w:space="0" w:color="auto"/>
            </w:tcBorders>
            <w:shd w:val="clear" w:color="000000" w:fill="FDE9D9"/>
            <w:vAlign w:val="center"/>
            <w:hideMark/>
          </w:tcPr>
          <w:p w14:paraId="1449B974" w14:textId="77777777" w:rsidR="0077672F" w:rsidRPr="0077672F" w:rsidRDefault="0077672F" w:rsidP="0077672F">
            <w:pPr>
              <w:spacing w:after="60"/>
              <w:jc w:val="center"/>
              <w:rPr>
                <w:rFonts w:eastAsia="Times New Roman" w:cs="Arial"/>
                <w:b/>
                <w:bCs/>
                <w:sz w:val="20"/>
                <w:szCs w:val="20"/>
                <w:lang w:eastAsia="fr-FR"/>
              </w:rPr>
            </w:pPr>
            <w:r w:rsidRPr="0077672F">
              <w:rPr>
                <w:rFonts w:eastAsia="Times New Roman" w:cs="Arial"/>
                <w:b/>
                <w:bCs/>
                <w:sz w:val="20"/>
                <w:szCs w:val="20"/>
                <w:lang w:eastAsia="fr-FR"/>
              </w:rPr>
              <w:t>Résultat Immédiat 1.1.</w:t>
            </w:r>
          </w:p>
        </w:tc>
      </w:tr>
      <w:tr w:rsidR="0077672F" w:rsidRPr="006B0D8A" w14:paraId="05D9EA0C" w14:textId="77777777" w:rsidTr="0077672F">
        <w:trPr>
          <w:trHeight w:val="221"/>
        </w:trPr>
        <w:tc>
          <w:tcPr>
            <w:tcW w:w="1086" w:type="dxa"/>
            <w:vMerge w:val="restart"/>
            <w:tcBorders>
              <w:top w:val="nil"/>
              <w:left w:val="single" w:sz="4" w:space="0" w:color="auto"/>
              <w:bottom w:val="single" w:sz="4" w:space="0" w:color="auto"/>
              <w:right w:val="single" w:sz="4" w:space="0" w:color="auto"/>
            </w:tcBorders>
            <w:shd w:val="clear" w:color="000000" w:fill="FFFFFF"/>
            <w:hideMark/>
          </w:tcPr>
          <w:p w14:paraId="518CFFB4" w14:textId="77777777" w:rsidR="0077672F" w:rsidRPr="006B0D8A" w:rsidRDefault="0077672F" w:rsidP="0077672F">
            <w:pPr>
              <w:spacing w:after="60"/>
              <w:jc w:val="center"/>
              <w:rPr>
                <w:rFonts w:eastAsia="Times New Roman" w:cs="Arial"/>
                <w:sz w:val="18"/>
                <w:szCs w:val="18"/>
                <w:lang w:eastAsia="fr-FR"/>
              </w:rPr>
            </w:pPr>
            <w:r w:rsidRPr="006B0D8A">
              <w:rPr>
                <w:rFonts w:eastAsia="Times New Roman" w:cs="Arial"/>
                <w:sz w:val="18"/>
                <w:szCs w:val="18"/>
                <w:lang w:eastAsia="fr-FR"/>
              </w:rPr>
              <w:t>Extrant 1.1.1.</w:t>
            </w:r>
          </w:p>
        </w:tc>
        <w:tc>
          <w:tcPr>
            <w:tcW w:w="1025" w:type="dxa"/>
            <w:vMerge w:val="restart"/>
            <w:tcBorders>
              <w:top w:val="nil"/>
              <w:left w:val="single" w:sz="4" w:space="0" w:color="auto"/>
              <w:bottom w:val="single" w:sz="4" w:space="0" w:color="auto"/>
              <w:right w:val="single" w:sz="4" w:space="0" w:color="auto"/>
            </w:tcBorders>
            <w:shd w:val="clear" w:color="000000" w:fill="FFFFFF"/>
            <w:hideMark/>
          </w:tcPr>
          <w:p w14:paraId="293A80B9"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1.</w:t>
            </w:r>
          </w:p>
        </w:tc>
        <w:tc>
          <w:tcPr>
            <w:tcW w:w="1704" w:type="dxa"/>
            <w:tcBorders>
              <w:top w:val="nil"/>
              <w:left w:val="nil"/>
              <w:bottom w:val="single" w:sz="4" w:space="0" w:color="auto"/>
              <w:right w:val="single" w:sz="4" w:space="0" w:color="auto"/>
            </w:tcBorders>
            <w:shd w:val="clear" w:color="auto" w:fill="auto"/>
            <w:hideMark/>
          </w:tcPr>
          <w:p w14:paraId="4468F50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1.1.1.1.1.</w:t>
            </w:r>
          </w:p>
        </w:tc>
        <w:tc>
          <w:tcPr>
            <w:tcW w:w="410" w:type="dxa"/>
            <w:tcBorders>
              <w:top w:val="nil"/>
              <w:left w:val="nil"/>
              <w:bottom w:val="single" w:sz="4" w:space="0" w:color="auto"/>
              <w:right w:val="single" w:sz="4" w:space="0" w:color="auto"/>
            </w:tcBorders>
            <w:shd w:val="clear" w:color="auto" w:fill="auto"/>
            <w:noWrap/>
            <w:vAlign w:val="bottom"/>
            <w:hideMark/>
          </w:tcPr>
          <w:p w14:paraId="098BD8E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550C7F2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5B76598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6655548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729899A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634AA67A"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41E1933A"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58F1EAB6" w14:textId="77777777" w:rsidTr="0077672F">
        <w:trPr>
          <w:trHeight w:val="280"/>
        </w:trPr>
        <w:tc>
          <w:tcPr>
            <w:tcW w:w="1086" w:type="dxa"/>
            <w:vMerge/>
            <w:tcBorders>
              <w:top w:val="nil"/>
              <w:left w:val="single" w:sz="4" w:space="0" w:color="auto"/>
              <w:bottom w:val="single" w:sz="4" w:space="0" w:color="auto"/>
              <w:right w:val="single" w:sz="4" w:space="0" w:color="auto"/>
            </w:tcBorders>
            <w:vAlign w:val="center"/>
            <w:hideMark/>
          </w:tcPr>
          <w:p w14:paraId="13F476E6" w14:textId="77777777" w:rsidR="0077672F" w:rsidRPr="006B0D8A" w:rsidRDefault="0077672F" w:rsidP="0077672F">
            <w:pPr>
              <w:spacing w:after="60"/>
              <w:rPr>
                <w:rFonts w:eastAsia="Times New Roman" w:cs="Arial"/>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2482134C" w14:textId="77777777" w:rsidR="0077672F" w:rsidRPr="006B0D8A" w:rsidRDefault="0077672F" w:rsidP="0077672F">
            <w:pPr>
              <w:spacing w:after="60"/>
              <w:rPr>
                <w:rFonts w:eastAsia="Times New Roman" w:cs="Arial"/>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2D2B17D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1.1.1.1.2. </w:t>
            </w:r>
          </w:p>
        </w:tc>
        <w:tc>
          <w:tcPr>
            <w:tcW w:w="410" w:type="dxa"/>
            <w:tcBorders>
              <w:top w:val="nil"/>
              <w:left w:val="nil"/>
              <w:bottom w:val="single" w:sz="4" w:space="0" w:color="auto"/>
              <w:right w:val="single" w:sz="4" w:space="0" w:color="auto"/>
            </w:tcBorders>
            <w:shd w:val="clear" w:color="auto" w:fill="auto"/>
            <w:noWrap/>
            <w:vAlign w:val="bottom"/>
            <w:hideMark/>
          </w:tcPr>
          <w:p w14:paraId="693F372C"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3934948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313327C8"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1289FF9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531F3F3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70C7ED8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40F02CC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1A2E844A" w14:textId="77777777" w:rsidTr="0077672F">
        <w:trPr>
          <w:trHeight w:val="257"/>
        </w:trPr>
        <w:tc>
          <w:tcPr>
            <w:tcW w:w="1086" w:type="dxa"/>
            <w:vMerge/>
            <w:tcBorders>
              <w:top w:val="nil"/>
              <w:left w:val="single" w:sz="4" w:space="0" w:color="auto"/>
              <w:bottom w:val="single" w:sz="4" w:space="0" w:color="auto"/>
              <w:right w:val="single" w:sz="4" w:space="0" w:color="auto"/>
            </w:tcBorders>
            <w:vAlign w:val="center"/>
            <w:hideMark/>
          </w:tcPr>
          <w:p w14:paraId="53C638F5" w14:textId="77777777" w:rsidR="0077672F" w:rsidRPr="006B0D8A" w:rsidRDefault="0077672F" w:rsidP="0077672F">
            <w:pPr>
              <w:spacing w:after="60"/>
              <w:rPr>
                <w:rFonts w:eastAsia="Times New Roman" w:cs="Arial"/>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7683FDF8" w14:textId="77777777" w:rsidR="0077672F" w:rsidRPr="006B0D8A" w:rsidRDefault="0077672F" w:rsidP="0077672F">
            <w:pPr>
              <w:spacing w:after="60"/>
              <w:rPr>
                <w:rFonts w:eastAsia="Times New Roman" w:cs="Arial"/>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40B313A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1.1.1.1.3. </w:t>
            </w:r>
          </w:p>
        </w:tc>
        <w:tc>
          <w:tcPr>
            <w:tcW w:w="410" w:type="dxa"/>
            <w:tcBorders>
              <w:top w:val="nil"/>
              <w:left w:val="nil"/>
              <w:bottom w:val="single" w:sz="4" w:space="0" w:color="auto"/>
              <w:right w:val="single" w:sz="4" w:space="0" w:color="auto"/>
            </w:tcBorders>
            <w:shd w:val="clear" w:color="auto" w:fill="auto"/>
            <w:noWrap/>
            <w:vAlign w:val="bottom"/>
            <w:hideMark/>
          </w:tcPr>
          <w:p w14:paraId="31067BA3"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60C1E0FF"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08E18D1A"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4FEED89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18F7F0E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7AE16B7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34E3974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714293C7" w14:textId="77777777" w:rsidTr="0077672F">
        <w:trPr>
          <w:trHeight w:val="273"/>
        </w:trPr>
        <w:tc>
          <w:tcPr>
            <w:tcW w:w="1086" w:type="dxa"/>
            <w:vMerge/>
            <w:tcBorders>
              <w:top w:val="nil"/>
              <w:left w:val="single" w:sz="4" w:space="0" w:color="auto"/>
              <w:bottom w:val="single" w:sz="4" w:space="0" w:color="auto"/>
              <w:right w:val="single" w:sz="4" w:space="0" w:color="auto"/>
            </w:tcBorders>
            <w:vAlign w:val="center"/>
            <w:hideMark/>
          </w:tcPr>
          <w:p w14:paraId="0595BF09" w14:textId="77777777" w:rsidR="0077672F" w:rsidRPr="006B0D8A" w:rsidRDefault="0077672F" w:rsidP="0077672F">
            <w:pPr>
              <w:spacing w:after="60"/>
              <w:rPr>
                <w:rFonts w:eastAsia="Times New Roman" w:cs="Arial"/>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5CCE7FEE" w14:textId="77777777" w:rsidR="0077672F" w:rsidRPr="006B0D8A" w:rsidRDefault="0077672F" w:rsidP="0077672F">
            <w:pPr>
              <w:spacing w:after="60"/>
              <w:rPr>
                <w:rFonts w:eastAsia="Times New Roman" w:cs="Arial"/>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790EA81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1.1.1.1.4.  </w:t>
            </w:r>
          </w:p>
        </w:tc>
        <w:tc>
          <w:tcPr>
            <w:tcW w:w="410" w:type="dxa"/>
            <w:tcBorders>
              <w:top w:val="nil"/>
              <w:left w:val="nil"/>
              <w:bottom w:val="single" w:sz="4" w:space="0" w:color="auto"/>
              <w:right w:val="single" w:sz="4" w:space="0" w:color="auto"/>
            </w:tcBorders>
            <w:shd w:val="clear" w:color="auto" w:fill="auto"/>
            <w:noWrap/>
            <w:vAlign w:val="bottom"/>
            <w:hideMark/>
          </w:tcPr>
          <w:p w14:paraId="4254A53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44534E3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4AEBFA3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59EA8A8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15D0937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7DB607D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4B575AC8"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2ED37CDD" w14:textId="77777777" w:rsidTr="0077672F">
        <w:trPr>
          <w:trHeight w:val="278"/>
        </w:trPr>
        <w:tc>
          <w:tcPr>
            <w:tcW w:w="1086" w:type="dxa"/>
            <w:vMerge w:val="restart"/>
            <w:tcBorders>
              <w:top w:val="nil"/>
              <w:left w:val="single" w:sz="4" w:space="0" w:color="auto"/>
              <w:bottom w:val="single" w:sz="4" w:space="0" w:color="auto"/>
              <w:right w:val="single" w:sz="4" w:space="0" w:color="auto"/>
            </w:tcBorders>
            <w:shd w:val="clear" w:color="auto" w:fill="auto"/>
            <w:hideMark/>
          </w:tcPr>
          <w:p w14:paraId="222C336E" w14:textId="77777777" w:rsidR="0077672F" w:rsidRPr="006B0D8A" w:rsidRDefault="0077672F" w:rsidP="0077672F">
            <w:pPr>
              <w:spacing w:after="60"/>
              <w:jc w:val="center"/>
              <w:rPr>
                <w:rFonts w:eastAsia="Times New Roman" w:cs="Arial"/>
                <w:sz w:val="18"/>
                <w:szCs w:val="18"/>
                <w:lang w:eastAsia="fr-FR"/>
              </w:rPr>
            </w:pPr>
            <w:r w:rsidRPr="006B0D8A">
              <w:rPr>
                <w:rFonts w:eastAsia="Times New Roman" w:cs="Arial"/>
                <w:sz w:val="18"/>
                <w:szCs w:val="18"/>
                <w:lang w:eastAsia="fr-FR"/>
              </w:rPr>
              <w:t xml:space="preserve">Extrant 1.1.2.  </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14BDB97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 </w:t>
            </w:r>
          </w:p>
        </w:tc>
        <w:tc>
          <w:tcPr>
            <w:tcW w:w="1704" w:type="dxa"/>
            <w:tcBorders>
              <w:top w:val="nil"/>
              <w:left w:val="nil"/>
              <w:bottom w:val="single" w:sz="4" w:space="0" w:color="auto"/>
              <w:right w:val="single" w:sz="4" w:space="0" w:color="auto"/>
            </w:tcBorders>
            <w:shd w:val="clear" w:color="auto" w:fill="auto"/>
            <w:hideMark/>
          </w:tcPr>
          <w:p w14:paraId="4D7FB33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1.1.1.2.1.</w:t>
            </w:r>
          </w:p>
        </w:tc>
        <w:tc>
          <w:tcPr>
            <w:tcW w:w="410" w:type="dxa"/>
            <w:tcBorders>
              <w:top w:val="nil"/>
              <w:left w:val="nil"/>
              <w:bottom w:val="single" w:sz="4" w:space="0" w:color="auto"/>
              <w:right w:val="single" w:sz="4" w:space="0" w:color="auto"/>
            </w:tcBorders>
            <w:shd w:val="clear" w:color="auto" w:fill="auto"/>
            <w:noWrap/>
            <w:vAlign w:val="bottom"/>
            <w:hideMark/>
          </w:tcPr>
          <w:p w14:paraId="370A067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16A5D3E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72BEF6E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23128EF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1A02DF8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7B45794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3349BC8F"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003339DC" w14:textId="77777777" w:rsidTr="0077672F">
        <w:trPr>
          <w:trHeight w:val="256"/>
        </w:trPr>
        <w:tc>
          <w:tcPr>
            <w:tcW w:w="1086" w:type="dxa"/>
            <w:vMerge/>
            <w:tcBorders>
              <w:top w:val="nil"/>
              <w:left w:val="single" w:sz="4" w:space="0" w:color="auto"/>
              <w:bottom w:val="single" w:sz="4" w:space="0" w:color="auto"/>
              <w:right w:val="single" w:sz="4" w:space="0" w:color="auto"/>
            </w:tcBorders>
            <w:vAlign w:val="center"/>
            <w:hideMark/>
          </w:tcPr>
          <w:p w14:paraId="0269E5A2" w14:textId="77777777" w:rsidR="0077672F" w:rsidRPr="006B0D8A" w:rsidRDefault="0077672F" w:rsidP="0077672F">
            <w:pPr>
              <w:spacing w:after="60"/>
              <w:rPr>
                <w:rFonts w:eastAsia="Times New Roman" w:cs="Arial"/>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339B25EF"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620B108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1.1.1.2.2 </w:t>
            </w:r>
          </w:p>
        </w:tc>
        <w:tc>
          <w:tcPr>
            <w:tcW w:w="410" w:type="dxa"/>
            <w:tcBorders>
              <w:top w:val="nil"/>
              <w:left w:val="nil"/>
              <w:bottom w:val="single" w:sz="4" w:space="0" w:color="auto"/>
              <w:right w:val="single" w:sz="4" w:space="0" w:color="auto"/>
            </w:tcBorders>
            <w:shd w:val="clear" w:color="auto" w:fill="auto"/>
            <w:noWrap/>
            <w:vAlign w:val="bottom"/>
            <w:hideMark/>
          </w:tcPr>
          <w:p w14:paraId="5D84E4B3"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4E469DF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0625E42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76AE1EC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10DEBE9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4C43411C"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4B25B23A"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774E0425" w14:textId="77777777" w:rsidTr="0077672F">
        <w:trPr>
          <w:trHeight w:val="272"/>
        </w:trPr>
        <w:tc>
          <w:tcPr>
            <w:tcW w:w="1086" w:type="dxa"/>
            <w:vMerge w:val="restart"/>
            <w:tcBorders>
              <w:top w:val="nil"/>
              <w:left w:val="single" w:sz="4" w:space="0" w:color="auto"/>
              <w:bottom w:val="single" w:sz="4" w:space="0" w:color="auto"/>
              <w:right w:val="single" w:sz="4" w:space="0" w:color="auto"/>
            </w:tcBorders>
            <w:shd w:val="clear" w:color="auto" w:fill="auto"/>
            <w:hideMark/>
          </w:tcPr>
          <w:p w14:paraId="483F57C8"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Extrant :1.1.3. </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4117699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3. </w:t>
            </w:r>
          </w:p>
        </w:tc>
        <w:tc>
          <w:tcPr>
            <w:tcW w:w="1704" w:type="dxa"/>
            <w:tcBorders>
              <w:top w:val="nil"/>
              <w:left w:val="nil"/>
              <w:bottom w:val="single" w:sz="4" w:space="0" w:color="auto"/>
              <w:right w:val="single" w:sz="4" w:space="0" w:color="auto"/>
            </w:tcBorders>
            <w:shd w:val="clear" w:color="auto" w:fill="auto"/>
            <w:hideMark/>
          </w:tcPr>
          <w:p w14:paraId="3A3B07E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1.1.1.3.1</w:t>
            </w:r>
          </w:p>
        </w:tc>
        <w:tc>
          <w:tcPr>
            <w:tcW w:w="410" w:type="dxa"/>
            <w:tcBorders>
              <w:top w:val="nil"/>
              <w:left w:val="nil"/>
              <w:bottom w:val="single" w:sz="4" w:space="0" w:color="auto"/>
              <w:right w:val="single" w:sz="4" w:space="0" w:color="auto"/>
            </w:tcBorders>
            <w:shd w:val="clear" w:color="auto" w:fill="auto"/>
            <w:noWrap/>
            <w:vAlign w:val="bottom"/>
            <w:hideMark/>
          </w:tcPr>
          <w:p w14:paraId="05ABAD73"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2629B78C"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2973342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43A3874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738A0FA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1287577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6D33CD0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2DCF456A" w14:textId="77777777" w:rsidTr="0077672F">
        <w:trPr>
          <w:trHeight w:val="276"/>
        </w:trPr>
        <w:tc>
          <w:tcPr>
            <w:tcW w:w="1086" w:type="dxa"/>
            <w:vMerge/>
            <w:tcBorders>
              <w:top w:val="nil"/>
              <w:left w:val="single" w:sz="4" w:space="0" w:color="auto"/>
              <w:bottom w:val="single" w:sz="4" w:space="0" w:color="auto"/>
              <w:right w:val="single" w:sz="4" w:space="0" w:color="auto"/>
            </w:tcBorders>
            <w:vAlign w:val="center"/>
            <w:hideMark/>
          </w:tcPr>
          <w:p w14:paraId="0702080A"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73FB2033"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040F4A0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1.1.1.3.2</w:t>
            </w:r>
          </w:p>
        </w:tc>
        <w:tc>
          <w:tcPr>
            <w:tcW w:w="410" w:type="dxa"/>
            <w:tcBorders>
              <w:top w:val="nil"/>
              <w:left w:val="nil"/>
              <w:bottom w:val="single" w:sz="4" w:space="0" w:color="auto"/>
              <w:right w:val="single" w:sz="4" w:space="0" w:color="auto"/>
            </w:tcBorders>
            <w:shd w:val="clear" w:color="auto" w:fill="auto"/>
            <w:noWrap/>
            <w:vAlign w:val="bottom"/>
            <w:hideMark/>
          </w:tcPr>
          <w:p w14:paraId="5998A29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4FA1B0A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0903BD6F"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6F8703F8"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29B0273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65DD7F5C"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7D6BDB7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63B91653" w14:textId="77777777" w:rsidTr="0077672F">
        <w:trPr>
          <w:trHeight w:val="266"/>
        </w:trPr>
        <w:tc>
          <w:tcPr>
            <w:tcW w:w="1086" w:type="dxa"/>
            <w:vMerge/>
            <w:tcBorders>
              <w:top w:val="nil"/>
              <w:left w:val="single" w:sz="4" w:space="0" w:color="auto"/>
              <w:bottom w:val="single" w:sz="4" w:space="0" w:color="auto"/>
              <w:right w:val="single" w:sz="4" w:space="0" w:color="auto"/>
            </w:tcBorders>
            <w:vAlign w:val="center"/>
            <w:hideMark/>
          </w:tcPr>
          <w:p w14:paraId="03A6BD9E"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2EC4FC2A"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560A9FB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1.1.1.3.3</w:t>
            </w:r>
          </w:p>
        </w:tc>
        <w:tc>
          <w:tcPr>
            <w:tcW w:w="410" w:type="dxa"/>
            <w:tcBorders>
              <w:top w:val="nil"/>
              <w:left w:val="nil"/>
              <w:bottom w:val="single" w:sz="4" w:space="0" w:color="auto"/>
              <w:right w:val="single" w:sz="4" w:space="0" w:color="auto"/>
            </w:tcBorders>
            <w:shd w:val="clear" w:color="auto" w:fill="auto"/>
            <w:noWrap/>
            <w:vAlign w:val="bottom"/>
            <w:hideMark/>
          </w:tcPr>
          <w:p w14:paraId="709DFBC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77D017DE"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05308A2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322FA573"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68EAEC9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178439F3"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46AFDCDE"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7E027E8B" w14:textId="77777777" w:rsidTr="0077672F">
        <w:trPr>
          <w:trHeight w:val="270"/>
        </w:trPr>
        <w:tc>
          <w:tcPr>
            <w:tcW w:w="1086" w:type="dxa"/>
            <w:vMerge w:val="restart"/>
            <w:tcBorders>
              <w:top w:val="nil"/>
              <w:left w:val="single" w:sz="4" w:space="0" w:color="auto"/>
              <w:bottom w:val="single" w:sz="4" w:space="0" w:color="auto"/>
              <w:right w:val="single" w:sz="4" w:space="0" w:color="auto"/>
            </w:tcBorders>
            <w:shd w:val="clear" w:color="auto" w:fill="auto"/>
            <w:hideMark/>
          </w:tcPr>
          <w:p w14:paraId="4E9A5AA6"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Extrant :1.1.4. </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12946CB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4. </w:t>
            </w:r>
          </w:p>
        </w:tc>
        <w:tc>
          <w:tcPr>
            <w:tcW w:w="1704" w:type="dxa"/>
            <w:tcBorders>
              <w:top w:val="nil"/>
              <w:left w:val="nil"/>
              <w:bottom w:val="single" w:sz="4" w:space="0" w:color="auto"/>
              <w:right w:val="single" w:sz="4" w:space="0" w:color="auto"/>
            </w:tcBorders>
            <w:shd w:val="clear" w:color="auto" w:fill="auto"/>
            <w:hideMark/>
          </w:tcPr>
          <w:p w14:paraId="631C981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1.1.1.4.1</w:t>
            </w:r>
          </w:p>
        </w:tc>
        <w:tc>
          <w:tcPr>
            <w:tcW w:w="410" w:type="dxa"/>
            <w:tcBorders>
              <w:top w:val="nil"/>
              <w:left w:val="nil"/>
              <w:bottom w:val="single" w:sz="4" w:space="0" w:color="auto"/>
              <w:right w:val="single" w:sz="4" w:space="0" w:color="auto"/>
            </w:tcBorders>
            <w:shd w:val="clear" w:color="auto" w:fill="auto"/>
            <w:noWrap/>
            <w:vAlign w:val="bottom"/>
            <w:hideMark/>
          </w:tcPr>
          <w:p w14:paraId="5B03160C"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2071C1F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472A36D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39875683"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180EA91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0579DED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2F662E1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78E22C9C" w14:textId="77777777" w:rsidTr="0077672F">
        <w:trPr>
          <w:trHeight w:val="274"/>
        </w:trPr>
        <w:tc>
          <w:tcPr>
            <w:tcW w:w="1086" w:type="dxa"/>
            <w:vMerge/>
            <w:tcBorders>
              <w:top w:val="nil"/>
              <w:left w:val="single" w:sz="4" w:space="0" w:color="auto"/>
              <w:bottom w:val="single" w:sz="4" w:space="0" w:color="auto"/>
              <w:right w:val="single" w:sz="4" w:space="0" w:color="auto"/>
            </w:tcBorders>
            <w:vAlign w:val="center"/>
            <w:hideMark/>
          </w:tcPr>
          <w:p w14:paraId="40BD8D10"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42D96E50"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2A69C23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1.1.1.4.2</w:t>
            </w:r>
          </w:p>
        </w:tc>
        <w:tc>
          <w:tcPr>
            <w:tcW w:w="410" w:type="dxa"/>
            <w:tcBorders>
              <w:top w:val="nil"/>
              <w:left w:val="nil"/>
              <w:bottom w:val="single" w:sz="4" w:space="0" w:color="auto"/>
              <w:right w:val="single" w:sz="4" w:space="0" w:color="auto"/>
            </w:tcBorders>
            <w:shd w:val="clear" w:color="auto" w:fill="auto"/>
            <w:noWrap/>
            <w:vAlign w:val="bottom"/>
            <w:hideMark/>
          </w:tcPr>
          <w:p w14:paraId="364B7E1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25" w:type="dxa"/>
            <w:tcBorders>
              <w:top w:val="nil"/>
              <w:left w:val="nil"/>
              <w:bottom w:val="single" w:sz="4" w:space="0" w:color="auto"/>
              <w:right w:val="single" w:sz="4" w:space="0" w:color="auto"/>
            </w:tcBorders>
            <w:shd w:val="clear" w:color="auto" w:fill="auto"/>
            <w:noWrap/>
            <w:vAlign w:val="bottom"/>
            <w:hideMark/>
          </w:tcPr>
          <w:p w14:paraId="0930D2E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4" w:type="dxa"/>
            <w:tcBorders>
              <w:top w:val="nil"/>
              <w:left w:val="nil"/>
              <w:bottom w:val="single" w:sz="4" w:space="0" w:color="auto"/>
              <w:right w:val="single" w:sz="4" w:space="0" w:color="auto"/>
            </w:tcBorders>
            <w:shd w:val="clear" w:color="auto" w:fill="auto"/>
            <w:noWrap/>
            <w:vAlign w:val="bottom"/>
            <w:hideMark/>
          </w:tcPr>
          <w:p w14:paraId="3116E71E"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16" w:type="dxa"/>
            <w:tcBorders>
              <w:top w:val="nil"/>
              <w:left w:val="nil"/>
              <w:bottom w:val="single" w:sz="4" w:space="0" w:color="auto"/>
              <w:right w:val="single" w:sz="4" w:space="0" w:color="auto"/>
            </w:tcBorders>
            <w:shd w:val="clear" w:color="auto" w:fill="auto"/>
            <w:noWrap/>
            <w:vAlign w:val="bottom"/>
            <w:hideMark/>
          </w:tcPr>
          <w:p w14:paraId="56AD3A8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818" w:type="dxa"/>
            <w:tcBorders>
              <w:top w:val="nil"/>
              <w:left w:val="nil"/>
              <w:bottom w:val="single" w:sz="4" w:space="0" w:color="auto"/>
              <w:right w:val="single" w:sz="4" w:space="0" w:color="auto"/>
            </w:tcBorders>
            <w:shd w:val="clear" w:color="auto" w:fill="auto"/>
            <w:noWrap/>
            <w:vAlign w:val="bottom"/>
            <w:hideMark/>
          </w:tcPr>
          <w:p w14:paraId="4EAAEB3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515" w:type="dxa"/>
            <w:tcBorders>
              <w:top w:val="nil"/>
              <w:left w:val="nil"/>
              <w:bottom w:val="single" w:sz="4" w:space="0" w:color="auto"/>
              <w:right w:val="single" w:sz="4" w:space="0" w:color="auto"/>
            </w:tcBorders>
            <w:shd w:val="clear" w:color="auto" w:fill="auto"/>
            <w:noWrap/>
            <w:vAlign w:val="bottom"/>
            <w:hideMark/>
          </w:tcPr>
          <w:p w14:paraId="0E0F64B8"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985" w:type="dxa"/>
            <w:tcBorders>
              <w:top w:val="nil"/>
              <w:left w:val="nil"/>
              <w:bottom w:val="single" w:sz="4" w:space="0" w:color="auto"/>
              <w:right w:val="single" w:sz="4" w:space="0" w:color="auto"/>
            </w:tcBorders>
            <w:shd w:val="clear" w:color="auto" w:fill="auto"/>
            <w:noWrap/>
            <w:vAlign w:val="bottom"/>
            <w:hideMark/>
          </w:tcPr>
          <w:p w14:paraId="7F97AD5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0534F2F2" w14:textId="77777777" w:rsidTr="0077672F">
        <w:trPr>
          <w:trHeight w:val="265"/>
        </w:trPr>
        <w:tc>
          <w:tcPr>
            <w:tcW w:w="1086" w:type="dxa"/>
            <w:vMerge w:val="restart"/>
            <w:tcBorders>
              <w:top w:val="nil"/>
              <w:left w:val="single" w:sz="4" w:space="0" w:color="auto"/>
              <w:bottom w:val="single" w:sz="4" w:space="0" w:color="auto"/>
              <w:right w:val="single" w:sz="4" w:space="0" w:color="auto"/>
            </w:tcBorders>
            <w:shd w:val="clear" w:color="auto" w:fill="auto"/>
            <w:noWrap/>
            <w:hideMark/>
          </w:tcPr>
          <w:p w14:paraId="17D6517D"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Extrant 1.1.5.</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1400E2C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5.</w:t>
            </w:r>
          </w:p>
        </w:tc>
        <w:tc>
          <w:tcPr>
            <w:tcW w:w="1704" w:type="dxa"/>
            <w:tcBorders>
              <w:top w:val="nil"/>
              <w:left w:val="nil"/>
              <w:bottom w:val="single" w:sz="4" w:space="0" w:color="auto"/>
              <w:right w:val="single" w:sz="4" w:space="0" w:color="auto"/>
            </w:tcBorders>
            <w:shd w:val="clear" w:color="auto" w:fill="auto"/>
            <w:hideMark/>
          </w:tcPr>
          <w:p w14:paraId="0108D93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1.1.1.5.1</w:t>
            </w:r>
          </w:p>
        </w:tc>
        <w:tc>
          <w:tcPr>
            <w:tcW w:w="410" w:type="dxa"/>
            <w:tcBorders>
              <w:top w:val="nil"/>
              <w:left w:val="nil"/>
              <w:bottom w:val="single" w:sz="4" w:space="0" w:color="auto"/>
              <w:right w:val="single" w:sz="4" w:space="0" w:color="auto"/>
            </w:tcBorders>
            <w:shd w:val="clear" w:color="000000" w:fill="FFFFFF"/>
            <w:noWrap/>
            <w:vAlign w:val="bottom"/>
            <w:hideMark/>
          </w:tcPr>
          <w:p w14:paraId="4B82D70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7580B1B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652D996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216411C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170A48E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009B57F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628AE30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26323404" w14:textId="77777777" w:rsidTr="0077672F">
        <w:trPr>
          <w:trHeight w:val="268"/>
        </w:trPr>
        <w:tc>
          <w:tcPr>
            <w:tcW w:w="1086" w:type="dxa"/>
            <w:vMerge/>
            <w:tcBorders>
              <w:top w:val="nil"/>
              <w:left w:val="single" w:sz="4" w:space="0" w:color="auto"/>
              <w:bottom w:val="single" w:sz="4" w:space="0" w:color="auto"/>
              <w:right w:val="single" w:sz="4" w:space="0" w:color="auto"/>
            </w:tcBorders>
            <w:vAlign w:val="center"/>
            <w:hideMark/>
          </w:tcPr>
          <w:p w14:paraId="5B58D39A"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79BAA2CB"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08043C8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1.1.1.5 .2</w:t>
            </w:r>
          </w:p>
        </w:tc>
        <w:tc>
          <w:tcPr>
            <w:tcW w:w="410" w:type="dxa"/>
            <w:tcBorders>
              <w:top w:val="nil"/>
              <w:left w:val="nil"/>
              <w:bottom w:val="single" w:sz="4" w:space="0" w:color="auto"/>
              <w:right w:val="single" w:sz="4" w:space="0" w:color="auto"/>
            </w:tcBorders>
            <w:shd w:val="clear" w:color="000000" w:fill="FFFFFF"/>
            <w:noWrap/>
            <w:vAlign w:val="bottom"/>
            <w:hideMark/>
          </w:tcPr>
          <w:p w14:paraId="25921D5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717BA15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2EE861B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23F87ED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0F27F40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0AC8665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4509DB6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45BC625C" w14:textId="77777777" w:rsidTr="0077672F">
        <w:trPr>
          <w:trHeight w:val="272"/>
        </w:trPr>
        <w:tc>
          <w:tcPr>
            <w:tcW w:w="9498" w:type="dxa"/>
            <w:gridSpan w:val="10"/>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6F024921" w14:textId="77777777" w:rsidR="0077672F" w:rsidRPr="0077672F" w:rsidRDefault="0077672F" w:rsidP="0077672F">
            <w:pPr>
              <w:spacing w:after="60"/>
              <w:jc w:val="center"/>
              <w:rPr>
                <w:rFonts w:eastAsia="Times New Roman" w:cs="Arial"/>
                <w:b/>
                <w:bCs/>
                <w:sz w:val="20"/>
                <w:szCs w:val="20"/>
                <w:lang w:eastAsia="fr-FR"/>
              </w:rPr>
            </w:pPr>
            <w:r w:rsidRPr="0077672F">
              <w:rPr>
                <w:rFonts w:eastAsia="Times New Roman" w:cs="Arial"/>
                <w:b/>
                <w:bCs/>
                <w:sz w:val="20"/>
                <w:szCs w:val="20"/>
                <w:lang w:eastAsia="fr-FR"/>
              </w:rPr>
              <w:t xml:space="preserve">Résultat Immédiat 1.2.   </w:t>
            </w:r>
          </w:p>
        </w:tc>
      </w:tr>
      <w:tr w:rsidR="0077672F" w:rsidRPr="006B0D8A" w14:paraId="7DC72B3C" w14:textId="77777777" w:rsidTr="0077672F">
        <w:trPr>
          <w:trHeight w:val="278"/>
        </w:trPr>
        <w:tc>
          <w:tcPr>
            <w:tcW w:w="1086" w:type="dxa"/>
            <w:vMerge w:val="restart"/>
            <w:tcBorders>
              <w:top w:val="nil"/>
              <w:left w:val="single" w:sz="4" w:space="0" w:color="auto"/>
              <w:bottom w:val="single" w:sz="4" w:space="0" w:color="auto"/>
              <w:right w:val="single" w:sz="4" w:space="0" w:color="auto"/>
            </w:tcBorders>
            <w:shd w:val="clear" w:color="000000" w:fill="FFFFFF"/>
            <w:hideMark/>
          </w:tcPr>
          <w:p w14:paraId="67164880"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Extrant 1.2.1.</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5CE8319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w:t>
            </w:r>
          </w:p>
        </w:tc>
        <w:tc>
          <w:tcPr>
            <w:tcW w:w="1704" w:type="dxa"/>
            <w:tcBorders>
              <w:top w:val="nil"/>
              <w:left w:val="nil"/>
              <w:bottom w:val="single" w:sz="4" w:space="0" w:color="auto"/>
              <w:right w:val="single" w:sz="4" w:space="0" w:color="auto"/>
            </w:tcBorders>
            <w:shd w:val="clear" w:color="auto" w:fill="auto"/>
            <w:hideMark/>
          </w:tcPr>
          <w:p w14:paraId="52C4291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1.2.1.1.1</w:t>
            </w:r>
          </w:p>
        </w:tc>
        <w:tc>
          <w:tcPr>
            <w:tcW w:w="410" w:type="dxa"/>
            <w:tcBorders>
              <w:top w:val="nil"/>
              <w:left w:val="nil"/>
              <w:bottom w:val="single" w:sz="4" w:space="0" w:color="auto"/>
              <w:right w:val="single" w:sz="4" w:space="0" w:color="auto"/>
            </w:tcBorders>
            <w:shd w:val="clear" w:color="auto" w:fill="auto"/>
            <w:vAlign w:val="center"/>
            <w:hideMark/>
          </w:tcPr>
          <w:p w14:paraId="4A68C45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304078B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3465140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24BD0AF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035A335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3671793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3A44D5B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15C38BC2" w14:textId="77777777" w:rsidTr="0077672F">
        <w:trPr>
          <w:trHeight w:val="266"/>
        </w:trPr>
        <w:tc>
          <w:tcPr>
            <w:tcW w:w="1086" w:type="dxa"/>
            <w:vMerge/>
            <w:tcBorders>
              <w:top w:val="nil"/>
              <w:left w:val="single" w:sz="4" w:space="0" w:color="auto"/>
              <w:bottom w:val="single" w:sz="4" w:space="0" w:color="auto"/>
              <w:right w:val="single" w:sz="4" w:space="0" w:color="auto"/>
            </w:tcBorders>
            <w:vAlign w:val="center"/>
            <w:hideMark/>
          </w:tcPr>
          <w:p w14:paraId="5CD29CA0"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16CF7B79"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30C0802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1.2.1.1.2 </w:t>
            </w:r>
          </w:p>
        </w:tc>
        <w:tc>
          <w:tcPr>
            <w:tcW w:w="410" w:type="dxa"/>
            <w:tcBorders>
              <w:top w:val="nil"/>
              <w:left w:val="nil"/>
              <w:bottom w:val="single" w:sz="4" w:space="0" w:color="auto"/>
              <w:right w:val="single" w:sz="4" w:space="0" w:color="auto"/>
            </w:tcBorders>
            <w:shd w:val="clear" w:color="auto" w:fill="auto"/>
            <w:vAlign w:val="center"/>
            <w:hideMark/>
          </w:tcPr>
          <w:p w14:paraId="64018F5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2AE5E74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50E5AE3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1659224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74852E1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34465E4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0A9BCAE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7A68276B" w14:textId="77777777" w:rsidTr="0077672F">
        <w:trPr>
          <w:trHeight w:val="268"/>
        </w:trPr>
        <w:tc>
          <w:tcPr>
            <w:tcW w:w="1086" w:type="dxa"/>
            <w:vMerge/>
            <w:tcBorders>
              <w:top w:val="nil"/>
              <w:left w:val="single" w:sz="4" w:space="0" w:color="auto"/>
              <w:bottom w:val="single" w:sz="4" w:space="0" w:color="auto"/>
              <w:right w:val="single" w:sz="4" w:space="0" w:color="auto"/>
            </w:tcBorders>
            <w:vAlign w:val="center"/>
            <w:hideMark/>
          </w:tcPr>
          <w:p w14:paraId="09D55FC8"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59C82803"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6EB3E94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1.2.1.1.3 </w:t>
            </w:r>
          </w:p>
        </w:tc>
        <w:tc>
          <w:tcPr>
            <w:tcW w:w="410" w:type="dxa"/>
            <w:tcBorders>
              <w:top w:val="nil"/>
              <w:left w:val="nil"/>
              <w:bottom w:val="single" w:sz="4" w:space="0" w:color="auto"/>
              <w:right w:val="single" w:sz="4" w:space="0" w:color="auto"/>
            </w:tcBorders>
            <w:shd w:val="clear" w:color="auto" w:fill="auto"/>
            <w:vAlign w:val="center"/>
            <w:hideMark/>
          </w:tcPr>
          <w:p w14:paraId="070A5CF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339CF42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274F4B2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28028F2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053A944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33580C3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53DA57D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23A9DD1D" w14:textId="77777777" w:rsidTr="0077672F">
        <w:trPr>
          <w:trHeight w:val="272"/>
        </w:trPr>
        <w:tc>
          <w:tcPr>
            <w:tcW w:w="1086" w:type="dxa"/>
            <w:vMerge w:val="restart"/>
            <w:tcBorders>
              <w:top w:val="nil"/>
              <w:left w:val="single" w:sz="4" w:space="0" w:color="auto"/>
              <w:bottom w:val="single" w:sz="4" w:space="0" w:color="auto"/>
              <w:right w:val="single" w:sz="4" w:space="0" w:color="auto"/>
            </w:tcBorders>
            <w:shd w:val="clear" w:color="000000" w:fill="FFFFFF"/>
            <w:hideMark/>
          </w:tcPr>
          <w:p w14:paraId="08BD380C"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Extrant 1.2.2.</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5E1BE7B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w:t>
            </w:r>
          </w:p>
        </w:tc>
        <w:tc>
          <w:tcPr>
            <w:tcW w:w="1704" w:type="dxa"/>
            <w:tcBorders>
              <w:top w:val="nil"/>
              <w:left w:val="nil"/>
              <w:bottom w:val="single" w:sz="4" w:space="0" w:color="auto"/>
              <w:right w:val="single" w:sz="4" w:space="0" w:color="auto"/>
            </w:tcBorders>
            <w:shd w:val="clear" w:color="auto" w:fill="auto"/>
            <w:hideMark/>
          </w:tcPr>
          <w:p w14:paraId="6F9562F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1.2.2.2.1</w:t>
            </w:r>
          </w:p>
        </w:tc>
        <w:tc>
          <w:tcPr>
            <w:tcW w:w="410" w:type="dxa"/>
            <w:tcBorders>
              <w:top w:val="nil"/>
              <w:left w:val="nil"/>
              <w:bottom w:val="single" w:sz="4" w:space="0" w:color="auto"/>
              <w:right w:val="single" w:sz="4" w:space="0" w:color="auto"/>
            </w:tcBorders>
            <w:shd w:val="clear" w:color="auto" w:fill="auto"/>
            <w:vAlign w:val="center"/>
            <w:hideMark/>
          </w:tcPr>
          <w:p w14:paraId="5103B2B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15EC0DD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1BDBD88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5C0DC02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16926D1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0A6FF70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0464A20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2DA3D846" w14:textId="77777777" w:rsidTr="0077672F">
        <w:trPr>
          <w:trHeight w:val="257"/>
        </w:trPr>
        <w:tc>
          <w:tcPr>
            <w:tcW w:w="1086" w:type="dxa"/>
            <w:vMerge/>
            <w:tcBorders>
              <w:top w:val="nil"/>
              <w:left w:val="single" w:sz="4" w:space="0" w:color="auto"/>
              <w:bottom w:val="single" w:sz="4" w:space="0" w:color="auto"/>
              <w:right w:val="single" w:sz="4" w:space="0" w:color="auto"/>
            </w:tcBorders>
            <w:vAlign w:val="center"/>
            <w:hideMark/>
          </w:tcPr>
          <w:p w14:paraId="469455D6"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43ADC457"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7C52100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1.2.2.2.2. </w:t>
            </w:r>
          </w:p>
        </w:tc>
        <w:tc>
          <w:tcPr>
            <w:tcW w:w="410" w:type="dxa"/>
            <w:tcBorders>
              <w:top w:val="nil"/>
              <w:left w:val="nil"/>
              <w:bottom w:val="single" w:sz="4" w:space="0" w:color="auto"/>
              <w:right w:val="single" w:sz="4" w:space="0" w:color="auto"/>
            </w:tcBorders>
            <w:shd w:val="clear" w:color="auto" w:fill="auto"/>
            <w:vAlign w:val="center"/>
            <w:hideMark/>
          </w:tcPr>
          <w:p w14:paraId="733DAEE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206B2C4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4A8E9CB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5C1E50F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12163BE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7A04CAA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24DF82A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0BC24188" w14:textId="77777777" w:rsidTr="0077672F">
        <w:trPr>
          <w:trHeight w:val="282"/>
        </w:trPr>
        <w:tc>
          <w:tcPr>
            <w:tcW w:w="1086" w:type="dxa"/>
            <w:vMerge/>
            <w:tcBorders>
              <w:top w:val="nil"/>
              <w:left w:val="single" w:sz="4" w:space="0" w:color="auto"/>
              <w:bottom w:val="single" w:sz="4" w:space="0" w:color="auto"/>
              <w:right w:val="single" w:sz="4" w:space="0" w:color="auto"/>
            </w:tcBorders>
            <w:vAlign w:val="center"/>
            <w:hideMark/>
          </w:tcPr>
          <w:p w14:paraId="01ACB13A"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5917AF99"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7CB85CE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1.2.2.2.3 </w:t>
            </w:r>
          </w:p>
        </w:tc>
        <w:tc>
          <w:tcPr>
            <w:tcW w:w="410" w:type="dxa"/>
            <w:tcBorders>
              <w:top w:val="nil"/>
              <w:left w:val="nil"/>
              <w:bottom w:val="single" w:sz="4" w:space="0" w:color="auto"/>
              <w:right w:val="single" w:sz="4" w:space="0" w:color="auto"/>
            </w:tcBorders>
            <w:shd w:val="clear" w:color="auto" w:fill="auto"/>
            <w:vAlign w:val="center"/>
            <w:hideMark/>
          </w:tcPr>
          <w:p w14:paraId="47D0A5A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2A6F668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0EBC729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6E845A1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6680819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6AF84CE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52AB2BF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77672F" w14:paraId="01B033AB" w14:textId="77777777" w:rsidTr="0077672F">
        <w:trPr>
          <w:trHeight w:val="420"/>
        </w:trPr>
        <w:tc>
          <w:tcPr>
            <w:tcW w:w="9498" w:type="dxa"/>
            <w:gridSpan w:val="10"/>
            <w:tcBorders>
              <w:top w:val="single" w:sz="4" w:space="0" w:color="auto"/>
              <w:left w:val="single" w:sz="4" w:space="0" w:color="auto"/>
              <w:bottom w:val="single" w:sz="4" w:space="0" w:color="auto"/>
              <w:right w:val="single" w:sz="4" w:space="0" w:color="auto"/>
            </w:tcBorders>
            <w:shd w:val="clear" w:color="auto" w:fill="EDEDED" w:themeFill="accent3" w:themeFillTint="33"/>
            <w:noWrap/>
            <w:vAlign w:val="center"/>
            <w:hideMark/>
          </w:tcPr>
          <w:p w14:paraId="3658A49F" w14:textId="77777777" w:rsidR="0077672F" w:rsidRPr="0077672F" w:rsidRDefault="0077672F" w:rsidP="0077672F">
            <w:pPr>
              <w:spacing w:after="60"/>
              <w:jc w:val="center"/>
              <w:rPr>
                <w:rFonts w:eastAsia="Times New Roman" w:cs="Arial"/>
                <w:b/>
                <w:bCs/>
                <w:color w:val="000000"/>
                <w:sz w:val="22"/>
                <w:lang w:eastAsia="fr-FR"/>
              </w:rPr>
            </w:pPr>
            <w:r w:rsidRPr="0077672F">
              <w:rPr>
                <w:rFonts w:eastAsia="Times New Roman" w:cs="Arial"/>
                <w:b/>
                <w:bCs/>
                <w:color w:val="000000"/>
                <w:sz w:val="22"/>
                <w:lang w:eastAsia="fr-FR"/>
              </w:rPr>
              <w:t>Résultat intermédiaire 2. Compétitivité et développement inclusif</w:t>
            </w:r>
          </w:p>
        </w:tc>
      </w:tr>
      <w:tr w:rsidR="0077672F" w:rsidRPr="0077672F" w14:paraId="0E74D117" w14:textId="77777777" w:rsidTr="0077672F">
        <w:trPr>
          <w:trHeight w:val="387"/>
        </w:trPr>
        <w:tc>
          <w:tcPr>
            <w:tcW w:w="9498" w:type="dxa"/>
            <w:gridSpan w:val="10"/>
            <w:tcBorders>
              <w:top w:val="single" w:sz="4" w:space="0" w:color="auto"/>
              <w:left w:val="single" w:sz="4" w:space="0" w:color="auto"/>
              <w:bottom w:val="single" w:sz="4" w:space="0" w:color="auto"/>
              <w:right w:val="single" w:sz="4" w:space="0" w:color="auto"/>
            </w:tcBorders>
            <w:shd w:val="clear" w:color="000000" w:fill="FDE9D9"/>
            <w:hideMark/>
          </w:tcPr>
          <w:p w14:paraId="765AA4E5" w14:textId="7644D633" w:rsidR="0077672F" w:rsidRPr="0077672F" w:rsidRDefault="0077672F" w:rsidP="0077672F">
            <w:pPr>
              <w:spacing w:after="60"/>
              <w:jc w:val="center"/>
              <w:rPr>
                <w:rFonts w:eastAsia="Times New Roman" w:cs="Arial"/>
                <w:b/>
                <w:bCs/>
                <w:sz w:val="20"/>
                <w:szCs w:val="20"/>
                <w:lang w:eastAsia="fr-FR"/>
              </w:rPr>
            </w:pPr>
            <w:r w:rsidRPr="0077672F">
              <w:rPr>
                <w:rFonts w:eastAsia="Times New Roman" w:cs="Arial"/>
                <w:b/>
                <w:bCs/>
                <w:sz w:val="20"/>
                <w:szCs w:val="20"/>
                <w:lang w:eastAsia="fr-FR"/>
              </w:rPr>
              <w:t xml:space="preserve">Résultat Immédiat 2.1. </w:t>
            </w:r>
          </w:p>
        </w:tc>
      </w:tr>
      <w:tr w:rsidR="0077672F" w:rsidRPr="006B0D8A" w14:paraId="6809A52B" w14:textId="77777777" w:rsidTr="0077672F">
        <w:trPr>
          <w:trHeight w:val="259"/>
        </w:trPr>
        <w:tc>
          <w:tcPr>
            <w:tcW w:w="1086" w:type="dxa"/>
            <w:vMerge w:val="restart"/>
            <w:tcBorders>
              <w:top w:val="nil"/>
              <w:left w:val="single" w:sz="4" w:space="0" w:color="auto"/>
              <w:bottom w:val="single" w:sz="4" w:space="0" w:color="auto"/>
              <w:right w:val="single" w:sz="4" w:space="0" w:color="auto"/>
            </w:tcBorders>
            <w:shd w:val="clear" w:color="000000" w:fill="FFFFFF"/>
            <w:hideMark/>
          </w:tcPr>
          <w:p w14:paraId="32862869"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Extrant 2.1.1.  </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5FC921C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w:t>
            </w:r>
          </w:p>
        </w:tc>
        <w:tc>
          <w:tcPr>
            <w:tcW w:w="1704" w:type="dxa"/>
            <w:tcBorders>
              <w:top w:val="nil"/>
              <w:left w:val="nil"/>
              <w:bottom w:val="single" w:sz="4" w:space="0" w:color="auto"/>
              <w:right w:val="single" w:sz="4" w:space="0" w:color="auto"/>
            </w:tcBorders>
            <w:shd w:val="clear" w:color="auto" w:fill="auto"/>
            <w:hideMark/>
          </w:tcPr>
          <w:p w14:paraId="4222B7A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2.1.1.1.1. </w:t>
            </w:r>
          </w:p>
        </w:tc>
        <w:tc>
          <w:tcPr>
            <w:tcW w:w="410" w:type="dxa"/>
            <w:tcBorders>
              <w:top w:val="nil"/>
              <w:left w:val="nil"/>
              <w:bottom w:val="single" w:sz="4" w:space="0" w:color="auto"/>
              <w:right w:val="single" w:sz="4" w:space="0" w:color="auto"/>
            </w:tcBorders>
            <w:shd w:val="clear" w:color="auto" w:fill="auto"/>
            <w:vAlign w:val="center"/>
            <w:hideMark/>
          </w:tcPr>
          <w:p w14:paraId="48EB3C2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036FABD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6E21154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06391B8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57E1FDC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13D2BA0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1637717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1C0729FA" w14:textId="77777777" w:rsidTr="0077672F">
        <w:trPr>
          <w:trHeight w:val="276"/>
        </w:trPr>
        <w:tc>
          <w:tcPr>
            <w:tcW w:w="1086" w:type="dxa"/>
            <w:vMerge/>
            <w:tcBorders>
              <w:top w:val="nil"/>
              <w:left w:val="single" w:sz="4" w:space="0" w:color="auto"/>
              <w:bottom w:val="single" w:sz="4" w:space="0" w:color="auto"/>
              <w:right w:val="single" w:sz="4" w:space="0" w:color="auto"/>
            </w:tcBorders>
            <w:vAlign w:val="center"/>
            <w:hideMark/>
          </w:tcPr>
          <w:p w14:paraId="55125DE1"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3CA852DC"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207F9EC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2.1.1.1.2.  </w:t>
            </w:r>
          </w:p>
        </w:tc>
        <w:tc>
          <w:tcPr>
            <w:tcW w:w="410" w:type="dxa"/>
            <w:tcBorders>
              <w:top w:val="nil"/>
              <w:left w:val="nil"/>
              <w:bottom w:val="single" w:sz="4" w:space="0" w:color="auto"/>
              <w:right w:val="single" w:sz="4" w:space="0" w:color="auto"/>
            </w:tcBorders>
            <w:shd w:val="clear" w:color="auto" w:fill="auto"/>
            <w:vAlign w:val="center"/>
            <w:hideMark/>
          </w:tcPr>
          <w:p w14:paraId="5AFA545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50825B9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3401268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2B2F94A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5B66D0C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1264B47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3C6C265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142340F3" w14:textId="77777777" w:rsidTr="0077672F">
        <w:trPr>
          <w:trHeight w:val="266"/>
        </w:trPr>
        <w:tc>
          <w:tcPr>
            <w:tcW w:w="1086" w:type="dxa"/>
            <w:vMerge/>
            <w:tcBorders>
              <w:top w:val="nil"/>
              <w:left w:val="single" w:sz="4" w:space="0" w:color="auto"/>
              <w:bottom w:val="single" w:sz="4" w:space="0" w:color="auto"/>
              <w:right w:val="single" w:sz="4" w:space="0" w:color="auto"/>
            </w:tcBorders>
            <w:vAlign w:val="center"/>
            <w:hideMark/>
          </w:tcPr>
          <w:p w14:paraId="59E21DE8"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52A22F10"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32F4543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2.1.1.1.3. </w:t>
            </w:r>
          </w:p>
        </w:tc>
        <w:tc>
          <w:tcPr>
            <w:tcW w:w="410" w:type="dxa"/>
            <w:tcBorders>
              <w:top w:val="nil"/>
              <w:left w:val="nil"/>
              <w:bottom w:val="single" w:sz="4" w:space="0" w:color="auto"/>
              <w:right w:val="single" w:sz="4" w:space="0" w:color="auto"/>
            </w:tcBorders>
            <w:shd w:val="clear" w:color="auto" w:fill="auto"/>
            <w:vAlign w:val="center"/>
            <w:hideMark/>
          </w:tcPr>
          <w:p w14:paraId="624FFF9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320E6CB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6E6CE51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629EA4C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7B249AA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464D8DC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2845ADA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6F9ED1A7" w14:textId="77777777" w:rsidTr="0077672F">
        <w:trPr>
          <w:trHeight w:val="270"/>
        </w:trPr>
        <w:tc>
          <w:tcPr>
            <w:tcW w:w="1086" w:type="dxa"/>
            <w:vMerge/>
            <w:tcBorders>
              <w:top w:val="nil"/>
              <w:left w:val="single" w:sz="4" w:space="0" w:color="auto"/>
              <w:bottom w:val="single" w:sz="4" w:space="0" w:color="auto"/>
              <w:right w:val="single" w:sz="4" w:space="0" w:color="auto"/>
            </w:tcBorders>
            <w:vAlign w:val="center"/>
            <w:hideMark/>
          </w:tcPr>
          <w:p w14:paraId="277F71FC"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5F44A3DE"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674F54E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2.1.1.1.4. </w:t>
            </w:r>
          </w:p>
        </w:tc>
        <w:tc>
          <w:tcPr>
            <w:tcW w:w="410" w:type="dxa"/>
            <w:tcBorders>
              <w:top w:val="nil"/>
              <w:left w:val="nil"/>
              <w:bottom w:val="single" w:sz="4" w:space="0" w:color="auto"/>
              <w:right w:val="single" w:sz="4" w:space="0" w:color="auto"/>
            </w:tcBorders>
            <w:shd w:val="clear" w:color="auto" w:fill="auto"/>
            <w:vAlign w:val="center"/>
            <w:hideMark/>
          </w:tcPr>
          <w:p w14:paraId="69786F1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4C4BA5E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0D280D6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5497A9C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5959CE7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6552F03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39D65C4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568150D9" w14:textId="77777777" w:rsidTr="0077672F">
        <w:trPr>
          <w:trHeight w:val="274"/>
        </w:trPr>
        <w:tc>
          <w:tcPr>
            <w:tcW w:w="1086" w:type="dxa"/>
            <w:vMerge/>
            <w:tcBorders>
              <w:top w:val="nil"/>
              <w:left w:val="single" w:sz="4" w:space="0" w:color="auto"/>
              <w:bottom w:val="single" w:sz="4" w:space="0" w:color="auto"/>
              <w:right w:val="single" w:sz="4" w:space="0" w:color="auto"/>
            </w:tcBorders>
            <w:vAlign w:val="center"/>
            <w:hideMark/>
          </w:tcPr>
          <w:p w14:paraId="3ADDE6E9"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6DF03A34"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33F5DA9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2.1.1.1.5. </w:t>
            </w:r>
          </w:p>
        </w:tc>
        <w:tc>
          <w:tcPr>
            <w:tcW w:w="410" w:type="dxa"/>
            <w:tcBorders>
              <w:top w:val="nil"/>
              <w:left w:val="nil"/>
              <w:bottom w:val="single" w:sz="4" w:space="0" w:color="auto"/>
              <w:right w:val="single" w:sz="4" w:space="0" w:color="auto"/>
            </w:tcBorders>
            <w:shd w:val="clear" w:color="auto" w:fill="auto"/>
            <w:vAlign w:val="center"/>
            <w:hideMark/>
          </w:tcPr>
          <w:p w14:paraId="79D0D7C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5BF3F61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3933CA4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12E5144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794726D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39A980B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36BB9CF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058BF931" w14:textId="77777777" w:rsidTr="0077672F">
        <w:trPr>
          <w:trHeight w:val="265"/>
        </w:trPr>
        <w:tc>
          <w:tcPr>
            <w:tcW w:w="1086" w:type="dxa"/>
            <w:vMerge w:val="restart"/>
            <w:tcBorders>
              <w:top w:val="nil"/>
              <w:left w:val="single" w:sz="4" w:space="0" w:color="auto"/>
              <w:bottom w:val="single" w:sz="4" w:space="0" w:color="auto"/>
              <w:right w:val="single" w:sz="4" w:space="0" w:color="auto"/>
            </w:tcBorders>
            <w:shd w:val="clear" w:color="000000" w:fill="FFFFFF"/>
            <w:hideMark/>
          </w:tcPr>
          <w:p w14:paraId="3A07799C"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Extrant 2.1.2.  </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4BD13B4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 2. </w:t>
            </w:r>
          </w:p>
        </w:tc>
        <w:tc>
          <w:tcPr>
            <w:tcW w:w="1704" w:type="dxa"/>
            <w:tcBorders>
              <w:top w:val="nil"/>
              <w:left w:val="nil"/>
              <w:bottom w:val="single" w:sz="4" w:space="0" w:color="auto"/>
              <w:right w:val="single" w:sz="4" w:space="0" w:color="auto"/>
            </w:tcBorders>
            <w:shd w:val="clear" w:color="auto" w:fill="auto"/>
            <w:hideMark/>
          </w:tcPr>
          <w:p w14:paraId="34DBD1F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2.1.2.2.1 </w:t>
            </w:r>
          </w:p>
        </w:tc>
        <w:tc>
          <w:tcPr>
            <w:tcW w:w="410" w:type="dxa"/>
            <w:tcBorders>
              <w:top w:val="nil"/>
              <w:left w:val="nil"/>
              <w:bottom w:val="single" w:sz="4" w:space="0" w:color="auto"/>
              <w:right w:val="single" w:sz="4" w:space="0" w:color="auto"/>
            </w:tcBorders>
            <w:shd w:val="clear" w:color="auto" w:fill="auto"/>
            <w:vAlign w:val="center"/>
            <w:hideMark/>
          </w:tcPr>
          <w:p w14:paraId="7012829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1127B0F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3ABDE2A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21AD0D7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06EA5E2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682BDD4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75D4F37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33980F27" w14:textId="77777777" w:rsidTr="0077672F">
        <w:trPr>
          <w:trHeight w:val="268"/>
        </w:trPr>
        <w:tc>
          <w:tcPr>
            <w:tcW w:w="1086" w:type="dxa"/>
            <w:vMerge/>
            <w:tcBorders>
              <w:top w:val="nil"/>
              <w:left w:val="single" w:sz="4" w:space="0" w:color="auto"/>
              <w:bottom w:val="single" w:sz="4" w:space="0" w:color="auto"/>
              <w:right w:val="single" w:sz="4" w:space="0" w:color="auto"/>
            </w:tcBorders>
            <w:vAlign w:val="center"/>
            <w:hideMark/>
          </w:tcPr>
          <w:p w14:paraId="65E376AF"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624D0604"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3FECBD9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2.1.2.2.2. </w:t>
            </w:r>
          </w:p>
        </w:tc>
        <w:tc>
          <w:tcPr>
            <w:tcW w:w="410" w:type="dxa"/>
            <w:tcBorders>
              <w:top w:val="nil"/>
              <w:left w:val="nil"/>
              <w:bottom w:val="single" w:sz="4" w:space="0" w:color="auto"/>
              <w:right w:val="single" w:sz="4" w:space="0" w:color="auto"/>
            </w:tcBorders>
            <w:shd w:val="clear" w:color="auto" w:fill="auto"/>
            <w:vAlign w:val="center"/>
            <w:hideMark/>
          </w:tcPr>
          <w:p w14:paraId="78331B0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5BA0EA6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474E66C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25CA0B4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531F8FF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7CE2C32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2265B9D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5A3EF8D9" w14:textId="77777777" w:rsidTr="0077672F">
        <w:trPr>
          <w:trHeight w:val="272"/>
        </w:trPr>
        <w:tc>
          <w:tcPr>
            <w:tcW w:w="1086" w:type="dxa"/>
            <w:vMerge w:val="restart"/>
            <w:tcBorders>
              <w:top w:val="nil"/>
              <w:left w:val="single" w:sz="4" w:space="0" w:color="auto"/>
              <w:bottom w:val="single" w:sz="4" w:space="0" w:color="auto"/>
              <w:right w:val="single" w:sz="4" w:space="0" w:color="auto"/>
            </w:tcBorders>
            <w:shd w:val="clear" w:color="000000" w:fill="FFFFFF"/>
            <w:hideMark/>
          </w:tcPr>
          <w:p w14:paraId="6B8A2A06"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Extrant 2.1.3.  </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2E7B26B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 3. </w:t>
            </w:r>
          </w:p>
        </w:tc>
        <w:tc>
          <w:tcPr>
            <w:tcW w:w="1704" w:type="dxa"/>
            <w:tcBorders>
              <w:top w:val="nil"/>
              <w:left w:val="nil"/>
              <w:bottom w:val="single" w:sz="4" w:space="0" w:color="auto"/>
              <w:right w:val="single" w:sz="4" w:space="0" w:color="auto"/>
            </w:tcBorders>
            <w:shd w:val="clear" w:color="auto" w:fill="auto"/>
            <w:hideMark/>
          </w:tcPr>
          <w:p w14:paraId="4589CC3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2.1.3.3.1.</w:t>
            </w:r>
          </w:p>
        </w:tc>
        <w:tc>
          <w:tcPr>
            <w:tcW w:w="410" w:type="dxa"/>
            <w:tcBorders>
              <w:top w:val="nil"/>
              <w:left w:val="nil"/>
              <w:bottom w:val="single" w:sz="4" w:space="0" w:color="auto"/>
              <w:right w:val="single" w:sz="4" w:space="0" w:color="auto"/>
            </w:tcBorders>
            <w:shd w:val="clear" w:color="auto" w:fill="auto"/>
            <w:vAlign w:val="center"/>
            <w:hideMark/>
          </w:tcPr>
          <w:p w14:paraId="526B621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7C9F1AF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7ED982C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797B674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0E37192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72CC530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2399B19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0E5A4DC8" w14:textId="77777777" w:rsidTr="0077672F">
        <w:trPr>
          <w:trHeight w:val="276"/>
        </w:trPr>
        <w:tc>
          <w:tcPr>
            <w:tcW w:w="1086" w:type="dxa"/>
            <w:vMerge/>
            <w:tcBorders>
              <w:top w:val="nil"/>
              <w:left w:val="single" w:sz="4" w:space="0" w:color="auto"/>
              <w:bottom w:val="single" w:sz="4" w:space="0" w:color="auto"/>
              <w:right w:val="single" w:sz="4" w:space="0" w:color="auto"/>
            </w:tcBorders>
            <w:vAlign w:val="center"/>
            <w:hideMark/>
          </w:tcPr>
          <w:p w14:paraId="3CDD7480"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16CB19E9"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08ADB71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2.1.3.3.2. </w:t>
            </w:r>
          </w:p>
        </w:tc>
        <w:tc>
          <w:tcPr>
            <w:tcW w:w="410" w:type="dxa"/>
            <w:tcBorders>
              <w:top w:val="nil"/>
              <w:left w:val="nil"/>
              <w:bottom w:val="single" w:sz="4" w:space="0" w:color="auto"/>
              <w:right w:val="single" w:sz="4" w:space="0" w:color="auto"/>
            </w:tcBorders>
            <w:shd w:val="clear" w:color="auto" w:fill="auto"/>
            <w:vAlign w:val="center"/>
            <w:hideMark/>
          </w:tcPr>
          <w:p w14:paraId="0B55D71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7728FF6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7ADB8DF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53E19AA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10F646B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5302C83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2CC7F6F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1D7E11FC" w14:textId="77777777" w:rsidTr="0077672F">
        <w:trPr>
          <w:trHeight w:val="266"/>
        </w:trPr>
        <w:tc>
          <w:tcPr>
            <w:tcW w:w="1086" w:type="dxa"/>
            <w:vMerge/>
            <w:tcBorders>
              <w:top w:val="nil"/>
              <w:left w:val="single" w:sz="4" w:space="0" w:color="auto"/>
              <w:bottom w:val="single" w:sz="4" w:space="0" w:color="auto"/>
              <w:right w:val="single" w:sz="4" w:space="0" w:color="auto"/>
            </w:tcBorders>
            <w:vAlign w:val="center"/>
            <w:hideMark/>
          </w:tcPr>
          <w:p w14:paraId="3966A249"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316C9FF0"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2F4096B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2.1.3.3.3. </w:t>
            </w:r>
          </w:p>
        </w:tc>
        <w:tc>
          <w:tcPr>
            <w:tcW w:w="410" w:type="dxa"/>
            <w:tcBorders>
              <w:top w:val="nil"/>
              <w:left w:val="nil"/>
              <w:bottom w:val="single" w:sz="4" w:space="0" w:color="auto"/>
              <w:right w:val="single" w:sz="4" w:space="0" w:color="auto"/>
            </w:tcBorders>
            <w:shd w:val="clear" w:color="auto" w:fill="auto"/>
            <w:vAlign w:val="center"/>
            <w:hideMark/>
          </w:tcPr>
          <w:p w14:paraId="5BE31D8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32F1D56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0295DF0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4A9A42B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1AFD8C1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0BF5497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5C11448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7EEA32C3" w14:textId="77777777" w:rsidTr="0077672F">
        <w:trPr>
          <w:trHeight w:val="270"/>
        </w:trPr>
        <w:tc>
          <w:tcPr>
            <w:tcW w:w="1086" w:type="dxa"/>
            <w:vMerge/>
            <w:tcBorders>
              <w:top w:val="nil"/>
              <w:left w:val="single" w:sz="4" w:space="0" w:color="auto"/>
              <w:bottom w:val="single" w:sz="4" w:space="0" w:color="auto"/>
              <w:right w:val="single" w:sz="4" w:space="0" w:color="auto"/>
            </w:tcBorders>
            <w:vAlign w:val="center"/>
            <w:hideMark/>
          </w:tcPr>
          <w:p w14:paraId="0884B376"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65E57135"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2E34F91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2.1.3.3.4. </w:t>
            </w:r>
          </w:p>
        </w:tc>
        <w:tc>
          <w:tcPr>
            <w:tcW w:w="410" w:type="dxa"/>
            <w:tcBorders>
              <w:top w:val="nil"/>
              <w:left w:val="nil"/>
              <w:bottom w:val="single" w:sz="4" w:space="0" w:color="auto"/>
              <w:right w:val="single" w:sz="4" w:space="0" w:color="auto"/>
            </w:tcBorders>
            <w:shd w:val="clear" w:color="auto" w:fill="auto"/>
            <w:vAlign w:val="center"/>
            <w:hideMark/>
          </w:tcPr>
          <w:p w14:paraId="4143A97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000000" w:fill="FFFFFF"/>
            <w:noWrap/>
            <w:vAlign w:val="bottom"/>
            <w:hideMark/>
          </w:tcPr>
          <w:p w14:paraId="5BC9EF9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000000" w:fill="FFFFFF"/>
            <w:noWrap/>
            <w:vAlign w:val="bottom"/>
            <w:hideMark/>
          </w:tcPr>
          <w:p w14:paraId="6CFA0D4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000000" w:fill="FFFFFF"/>
            <w:noWrap/>
            <w:vAlign w:val="bottom"/>
            <w:hideMark/>
          </w:tcPr>
          <w:p w14:paraId="4FDC8CA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000000" w:fill="FFFFFF"/>
            <w:noWrap/>
            <w:vAlign w:val="bottom"/>
            <w:hideMark/>
          </w:tcPr>
          <w:p w14:paraId="5B0CA22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noWrap/>
            <w:vAlign w:val="bottom"/>
            <w:hideMark/>
          </w:tcPr>
          <w:p w14:paraId="0EB4C66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noWrap/>
            <w:hideMark/>
          </w:tcPr>
          <w:p w14:paraId="482CEF6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1DAC5174" w14:textId="77777777" w:rsidTr="0077672F">
        <w:trPr>
          <w:trHeight w:val="274"/>
        </w:trPr>
        <w:tc>
          <w:tcPr>
            <w:tcW w:w="1086" w:type="dxa"/>
            <w:vMerge w:val="restart"/>
            <w:tcBorders>
              <w:top w:val="nil"/>
              <w:left w:val="single" w:sz="4" w:space="0" w:color="auto"/>
              <w:bottom w:val="single" w:sz="4" w:space="0" w:color="auto"/>
              <w:right w:val="single" w:sz="4" w:space="0" w:color="auto"/>
            </w:tcBorders>
            <w:shd w:val="clear" w:color="000000" w:fill="FFFFFF"/>
            <w:hideMark/>
          </w:tcPr>
          <w:p w14:paraId="79AA60F1"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lastRenderedPageBreak/>
              <w:t xml:space="preserve">Extrant 2.1.4. </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1855F25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4. </w:t>
            </w:r>
          </w:p>
        </w:tc>
        <w:tc>
          <w:tcPr>
            <w:tcW w:w="1704" w:type="dxa"/>
            <w:tcBorders>
              <w:top w:val="nil"/>
              <w:left w:val="nil"/>
              <w:bottom w:val="single" w:sz="4" w:space="0" w:color="auto"/>
              <w:right w:val="single" w:sz="4" w:space="0" w:color="auto"/>
            </w:tcBorders>
            <w:shd w:val="clear" w:color="auto" w:fill="auto"/>
            <w:hideMark/>
          </w:tcPr>
          <w:p w14:paraId="343FBA8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2.1.4.4.1.</w:t>
            </w:r>
          </w:p>
        </w:tc>
        <w:tc>
          <w:tcPr>
            <w:tcW w:w="410" w:type="dxa"/>
            <w:tcBorders>
              <w:top w:val="nil"/>
              <w:left w:val="nil"/>
              <w:bottom w:val="single" w:sz="4" w:space="0" w:color="auto"/>
              <w:right w:val="single" w:sz="4" w:space="0" w:color="auto"/>
            </w:tcBorders>
            <w:shd w:val="clear" w:color="auto" w:fill="auto"/>
            <w:hideMark/>
          </w:tcPr>
          <w:p w14:paraId="0BE346E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2923C37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5C0D906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0F68BA4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3FBECB8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1592A11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353A6E7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04594CAF" w14:textId="77777777" w:rsidTr="0077672F">
        <w:trPr>
          <w:trHeight w:val="273"/>
        </w:trPr>
        <w:tc>
          <w:tcPr>
            <w:tcW w:w="1086" w:type="dxa"/>
            <w:vMerge/>
            <w:tcBorders>
              <w:top w:val="nil"/>
              <w:left w:val="single" w:sz="4" w:space="0" w:color="auto"/>
              <w:bottom w:val="single" w:sz="4" w:space="0" w:color="auto"/>
              <w:right w:val="single" w:sz="4" w:space="0" w:color="auto"/>
            </w:tcBorders>
            <w:vAlign w:val="center"/>
            <w:hideMark/>
          </w:tcPr>
          <w:p w14:paraId="76BD8589"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5FB8D406"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50AAE2B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2.1.4.4.2.</w:t>
            </w:r>
          </w:p>
        </w:tc>
        <w:tc>
          <w:tcPr>
            <w:tcW w:w="410" w:type="dxa"/>
            <w:tcBorders>
              <w:top w:val="nil"/>
              <w:left w:val="nil"/>
              <w:bottom w:val="single" w:sz="4" w:space="0" w:color="auto"/>
              <w:right w:val="single" w:sz="4" w:space="0" w:color="auto"/>
            </w:tcBorders>
            <w:shd w:val="clear" w:color="auto" w:fill="auto"/>
            <w:hideMark/>
          </w:tcPr>
          <w:p w14:paraId="46C9507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3420BCF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66FE6AD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4955471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6794414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3D98FC1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310ABF4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1802A211" w14:textId="77777777" w:rsidTr="0077672F">
        <w:trPr>
          <w:trHeight w:val="264"/>
        </w:trPr>
        <w:tc>
          <w:tcPr>
            <w:tcW w:w="1086" w:type="dxa"/>
            <w:vMerge/>
            <w:tcBorders>
              <w:top w:val="nil"/>
              <w:left w:val="single" w:sz="4" w:space="0" w:color="auto"/>
              <w:bottom w:val="single" w:sz="4" w:space="0" w:color="auto"/>
              <w:right w:val="single" w:sz="4" w:space="0" w:color="auto"/>
            </w:tcBorders>
            <w:vAlign w:val="center"/>
            <w:hideMark/>
          </w:tcPr>
          <w:p w14:paraId="70DF7E08"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48F2FC68"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2CC9F33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2.1.4.4.3.</w:t>
            </w:r>
          </w:p>
        </w:tc>
        <w:tc>
          <w:tcPr>
            <w:tcW w:w="410" w:type="dxa"/>
            <w:tcBorders>
              <w:top w:val="nil"/>
              <w:left w:val="nil"/>
              <w:bottom w:val="single" w:sz="4" w:space="0" w:color="auto"/>
              <w:right w:val="single" w:sz="4" w:space="0" w:color="auto"/>
            </w:tcBorders>
            <w:shd w:val="clear" w:color="auto" w:fill="auto"/>
            <w:hideMark/>
          </w:tcPr>
          <w:p w14:paraId="5A84E2E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37022BF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695D46F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3A797B2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617765A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3C84B97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4ACC3B1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77672F" w14:paraId="043D7ACD" w14:textId="77777777" w:rsidTr="0077672F">
        <w:trPr>
          <w:trHeight w:val="242"/>
        </w:trPr>
        <w:tc>
          <w:tcPr>
            <w:tcW w:w="9498" w:type="dxa"/>
            <w:gridSpan w:val="10"/>
            <w:tcBorders>
              <w:top w:val="single" w:sz="4" w:space="0" w:color="auto"/>
              <w:left w:val="single" w:sz="4" w:space="0" w:color="auto"/>
              <w:bottom w:val="single" w:sz="4" w:space="0" w:color="auto"/>
              <w:right w:val="single" w:sz="4" w:space="0" w:color="auto"/>
            </w:tcBorders>
            <w:shd w:val="clear" w:color="000000" w:fill="FDE9D9"/>
            <w:hideMark/>
          </w:tcPr>
          <w:p w14:paraId="5E447B5D" w14:textId="77777777" w:rsidR="0077672F" w:rsidRPr="0077672F" w:rsidRDefault="0077672F" w:rsidP="0077672F">
            <w:pPr>
              <w:spacing w:after="60"/>
              <w:jc w:val="center"/>
              <w:rPr>
                <w:rFonts w:eastAsia="Times New Roman" w:cs="Arial"/>
                <w:b/>
                <w:bCs/>
                <w:sz w:val="20"/>
                <w:szCs w:val="20"/>
                <w:lang w:eastAsia="fr-FR"/>
              </w:rPr>
            </w:pPr>
            <w:r w:rsidRPr="0077672F">
              <w:rPr>
                <w:rFonts w:eastAsia="Times New Roman" w:cs="Arial"/>
                <w:b/>
                <w:bCs/>
                <w:sz w:val="20"/>
                <w:szCs w:val="20"/>
                <w:lang w:eastAsia="fr-FR"/>
              </w:rPr>
              <w:t xml:space="preserve">Résultat Immédiat 2.2. </w:t>
            </w:r>
          </w:p>
        </w:tc>
      </w:tr>
      <w:tr w:rsidR="0077672F" w:rsidRPr="006B0D8A" w14:paraId="4186DB95" w14:textId="77777777" w:rsidTr="0077672F">
        <w:trPr>
          <w:trHeight w:val="260"/>
        </w:trPr>
        <w:tc>
          <w:tcPr>
            <w:tcW w:w="1086" w:type="dxa"/>
            <w:vMerge w:val="restart"/>
            <w:tcBorders>
              <w:top w:val="nil"/>
              <w:left w:val="single" w:sz="4" w:space="0" w:color="auto"/>
              <w:bottom w:val="single" w:sz="4" w:space="0" w:color="auto"/>
              <w:right w:val="single" w:sz="4" w:space="0" w:color="auto"/>
            </w:tcBorders>
            <w:shd w:val="clear" w:color="000000" w:fill="FFFFFF"/>
            <w:hideMark/>
          </w:tcPr>
          <w:p w14:paraId="459CC00C"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Extrant 2.2.1.  </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2980615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1.</w:t>
            </w:r>
          </w:p>
        </w:tc>
        <w:tc>
          <w:tcPr>
            <w:tcW w:w="1704" w:type="dxa"/>
            <w:tcBorders>
              <w:top w:val="nil"/>
              <w:left w:val="nil"/>
              <w:bottom w:val="single" w:sz="4" w:space="0" w:color="auto"/>
              <w:right w:val="single" w:sz="4" w:space="0" w:color="auto"/>
            </w:tcBorders>
            <w:shd w:val="clear" w:color="auto" w:fill="auto"/>
            <w:hideMark/>
          </w:tcPr>
          <w:p w14:paraId="3D22AC9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2.2.1.1.1.</w:t>
            </w:r>
          </w:p>
        </w:tc>
        <w:tc>
          <w:tcPr>
            <w:tcW w:w="410" w:type="dxa"/>
            <w:tcBorders>
              <w:top w:val="nil"/>
              <w:left w:val="nil"/>
              <w:bottom w:val="single" w:sz="4" w:space="0" w:color="auto"/>
              <w:right w:val="single" w:sz="4" w:space="0" w:color="auto"/>
            </w:tcBorders>
            <w:shd w:val="clear" w:color="auto" w:fill="auto"/>
            <w:hideMark/>
          </w:tcPr>
          <w:p w14:paraId="76448F0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3F2FB56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244F946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1BFDE92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76E7131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19D3B4C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69CB910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1A6E10FF" w14:textId="77777777" w:rsidTr="0077672F">
        <w:trPr>
          <w:trHeight w:val="264"/>
        </w:trPr>
        <w:tc>
          <w:tcPr>
            <w:tcW w:w="1086" w:type="dxa"/>
            <w:vMerge/>
            <w:tcBorders>
              <w:top w:val="nil"/>
              <w:left w:val="single" w:sz="4" w:space="0" w:color="auto"/>
              <w:bottom w:val="single" w:sz="4" w:space="0" w:color="auto"/>
              <w:right w:val="single" w:sz="4" w:space="0" w:color="auto"/>
            </w:tcBorders>
            <w:vAlign w:val="center"/>
            <w:hideMark/>
          </w:tcPr>
          <w:p w14:paraId="6DA2C582"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187FF906"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00812B2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2.2.1.1.2.</w:t>
            </w:r>
          </w:p>
        </w:tc>
        <w:tc>
          <w:tcPr>
            <w:tcW w:w="410" w:type="dxa"/>
            <w:tcBorders>
              <w:top w:val="nil"/>
              <w:left w:val="nil"/>
              <w:bottom w:val="single" w:sz="4" w:space="0" w:color="auto"/>
              <w:right w:val="single" w:sz="4" w:space="0" w:color="auto"/>
            </w:tcBorders>
            <w:shd w:val="clear" w:color="auto" w:fill="auto"/>
            <w:hideMark/>
          </w:tcPr>
          <w:p w14:paraId="7660638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6AD8453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05E4DD8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38141A1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763A33E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31E62AA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65FF9E7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2489C221" w14:textId="77777777" w:rsidTr="0077672F">
        <w:trPr>
          <w:trHeight w:val="281"/>
        </w:trPr>
        <w:tc>
          <w:tcPr>
            <w:tcW w:w="1086" w:type="dxa"/>
            <w:vMerge/>
            <w:tcBorders>
              <w:top w:val="nil"/>
              <w:left w:val="single" w:sz="4" w:space="0" w:color="auto"/>
              <w:bottom w:val="single" w:sz="4" w:space="0" w:color="auto"/>
              <w:right w:val="single" w:sz="4" w:space="0" w:color="auto"/>
            </w:tcBorders>
            <w:vAlign w:val="center"/>
            <w:hideMark/>
          </w:tcPr>
          <w:p w14:paraId="0B8EC61B"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7F52A783"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20F1452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2.2.1.1.3.</w:t>
            </w:r>
          </w:p>
        </w:tc>
        <w:tc>
          <w:tcPr>
            <w:tcW w:w="410" w:type="dxa"/>
            <w:tcBorders>
              <w:top w:val="nil"/>
              <w:left w:val="nil"/>
              <w:bottom w:val="single" w:sz="4" w:space="0" w:color="auto"/>
              <w:right w:val="single" w:sz="4" w:space="0" w:color="auto"/>
            </w:tcBorders>
            <w:shd w:val="clear" w:color="auto" w:fill="auto"/>
            <w:hideMark/>
          </w:tcPr>
          <w:p w14:paraId="62F6A6A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2B65664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6C11C8C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01502DF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7C014FF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5966EAF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5C50D86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5AD4330C" w14:textId="77777777" w:rsidTr="0077672F">
        <w:trPr>
          <w:trHeight w:val="258"/>
        </w:trPr>
        <w:tc>
          <w:tcPr>
            <w:tcW w:w="1086" w:type="dxa"/>
            <w:vMerge/>
            <w:tcBorders>
              <w:top w:val="nil"/>
              <w:left w:val="single" w:sz="4" w:space="0" w:color="auto"/>
              <w:bottom w:val="single" w:sz="4" w:space="0" w:color="auto"/>
              <w:right w:val="single" w:sz="4" w:space="0" w:color="auto"/>
            </w:tcBorders>
            <w:vAlign w:val="center"/>
            <w:hideMark/>
          </w:tcPr>
          <w:p w14:paraId="53E92B01"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332395FD"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773DCF7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2.2.1.1.4.</w:t>
            </w:r>
          </w:p>
        </w:tc>
        <w:tc>
          <w:tcPr>
            <w:tcW w:w="410" w:type="dxa"/>
            <w:tcBorders>
              <w:top w:val="nil"/>
              <w:left w:val="nil"/>
              <w:bottom w:val="single" w:sz="4" w:space="0" w:color="auto"/>
              <w:right w:val="single" w:sz="4" w:space="0" w:color="auto"/>
            </w:tcBorders>
            <w:shd w:val="clear" w:color="auto" w:fill="auto"/>
            <w:hideMark/>
          </w:tcPr>
          <w:p w14:paraId="194D102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3C716ED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66B5798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5B03366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254C21B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74B6E1D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2703E0C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6D712EAF" w14:textId="77777777" w:rsidTr="0077672F">
        <w:trPr>
          <w:trHeight w:val="274"/>
        </w:trPr>
        <w:tc>
          <w:tcPr>
            <w:tcW w:w="1086" w:type="dxa"/>
            <w:vMerge/>
            <w:tcBorders>
              <w:top w:val="nil"/>
              <w:left w:val="single" w:sz="4" w:space="0" w:color="auto"/>
              <w:bottom w:val="single" w:sz="4" w:space="0" w:color="auto"/>
              <w:right w:val="single" w:sz="4" w:space="0" w:color="auto"/>
            </w:tcBorders>
            <w:vAlign w:val="center"/>
            <w:hideMark/>
          </w:tcPr>
          <w:p w14:paraId="19B74900"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27783F39"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4B1E265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2.2.1.1.5. </w:t>
            </w:r>
          </w:p>
        </w:tc>
        <w:tc>
          <w:tcPr>
            <w:tcW w:w="410" w:type="dxa"/>
            <w:tcBorders>
              <w:top w:val="nil"/>
              <w:left w:val="nil"/>
              <w:bottom w:val="single" w:sz="4" w:space="0" w:color="auto"/>
              <w:right w:val="single" w:sz="4" w:space="0" w:color="auto"/>
            </w:tcBorders>
            <w:shd w:val="clear" w:color="auto" w:fill="auto"/>
            <w:hideMark/>
          </w:tcPr>
          <w:p w14:paraId="5EB230D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7507D83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48FF378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02015B9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092419E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4903AA6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2CAC6A2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53E17086" w14:textId="77777777" w:rsidTr="0077672F">
        <w:trPr>
          <w:trHeight w:val="277"/>
        </w:trPr>
        <w:tc>
          <w:tcPr>
            <w:tcW w:w="1086" w:type="dxa"/>
            <w:vMerge w:val="restart"/>
            <w:tcBorders>
              <w:top w:val="nil"/>
              <w:left w:val="single" w:sz="4" w:space="0" w:color="auto"/>
              <w:bottom w:val="single" w:sz="4" w:space="0" w:color="auto"/>
              <w:right w:val="single" w:sz="4" w:space="0" w:color="auto"/>
            </w:tcBorders>
            <w:shd w:val="clear" w:color="000000" w:fill="FFFFFF"/>
            <w:hideMark/>
          </w:tcPr>
          <w:p w14:paraId="2A18EB95"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Extrant 2.2.2.  </w:t>
            </w:r>
          </w:p>
        </w:tc>
        <w:tc>
          <w:tcPr>
            <w:tcW w:w="1025" w:type="dxa"/>
            <w:vMerge w:val="restart"/>
            <w:tcBorders>
              <w:top w:val="nil"/>
              <w:left w:val="single" w:sz="4" w:space="0" w:color="auto"/>
              <w:bottom w:val="single" w:sz="4" w:space="0" w:color="auto"/>
              <w:right w:val="single" w:sz="4" w:space="0" w:color="auto"/>
            </w:tcBorders>
            <w:shd w:val="clear" w:color="auto" w:fill="auto"/>
            <w:hideMark/>
          </w:tcPr>
          <w:p w14:paraId="19127E4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w:t>
            </w:r>
          </w:p>
        </w:tc>
        <w:tc>
          <w:tcPr>
            <w:tcW w:w="1704" w:type="dxa"/>
            <w:tcBorders>
              <w:top w:val="nil"/>
              <w:left w:val="nil"/>
              <w:bottom w:val="single" w:sz="4" w:space="0" w:color="auto"/>
              <w:right w:val="single" w:sz="4" w:space="0" w:color="auto"/>
            </w:tcBorders>
            <w:shd w:val="clear" w:color="auto" w:fill="auto"/>
            <w:hideMark/>
          </w:tcPr>
          <w:p w14:paraId="7583711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xml:space="preserve">2.2.2.2.1. </w:t>
            </w:r>
          </w:p>
        </w:tc>
        <w:tc>
          <w:tcPr>
            <w:tcW w:w="410" w:type="dxa"/>
            <w:tcBorders>
              <w:top w:val="nil"/>
              <w:left w:val="nil"/>
              <w:bottom w:val="single" w:sz="4" w:space="0" w:color="auto"/>
              <w:right w:val="single" w:sz="4" w:space="0" w:color="auto"/>
            </w:tcBorders>
            <w:shd w:val="clear" w:color="auto" w:fill="auto"/>
            <w:hideMark/>
          </w:tcPr>
          <w:p w14:paraId="4E97410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1BA654C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570F28B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7B99C6D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556D7E6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hideMark/>
          </w:tcPr>
          <w:p w14:paraId="6496B85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hideMark/>
          </w:tcPr>
          <w:p w14:paraId="052ABEA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016804B5" w14:textId="77777777" w:rsidTr="0077672F">
        <w:trPr>
          <w:trHeight w:val="255"/>
        </w:trPr>
        <w:tc>
          <w:tcPr>
            <w:tcW w:w="1086" w:type="dxa"/>
            <w:vMerge/>
            <w:tcBorders>
              <w:top w:val="nil"/>
              <w:left w:val="single" w:sz="4" w:space="0" w:color="auto"/>
              <w:bottom w:val="single" w:sz="4" w:space="0" w:color="auto"/>
              <w:right w:val="single" w:sz="4" w:space="0" w:color="auto"/>
            </w:tcBorders>
            <w:vAlign w:val="center"/>
            <w:hideMark/>
          </w:tcPr>
          <w:p w14:paraId="0AA6ACAF"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373B6D8C"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7DE661A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2.2.2.2.2.</w:t>
            </w:r>
          </w:p>
        </w:tc>
        <w:tc>
          <w:tcPr>
            <w:tcW w:w="410" w:type="dxa"/>
            <w:tcBorders>
              <w:top w:val="nil"/>
              <w:left w:val="nil"/>
              <w:bottom w:val="single" w:sz="4" w:space="0" w:color="auto"/>
              <w:right w:val="single" w:sz="4" w:space="0" w:color="auto"/>
            </w:tcBorders>
            <w:shd w:val="clear" w:color="auto" w:fill="auto"/>
            <w:hideMark/>
          </w:tcPr>
          <w:p w14:paraId="0A3C728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4C023D1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0CEEA75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3A95DA5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21E533F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000000" w:fill="FFFFFF"/>
            <w:hideMark/>
          </w:tcPr>
          <w:p w14:paraId="71082D3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000000" w:fill="FFFFFF"/>
            <w:hideMark/>
          </w:tcPr>
          <w:p w14:paraId="61BBEC6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0550B112" w14:textId="77777777" w:rsidTr="0077672F">
        <w:trPr>
          <w:trHeight w:val="271"/>
        </w:trPr>
        <w:tc>
          <w:tcPr>
            <w:tcW w:w="1086" w:type="dxa"/>
            <w:vMerge/>
            <w:tcBorders>
              <w:top w:val="nil"/>
              <w:left w:val="single" w:sz="4" w:space="0" w:color="auto"/>
              <w:bottom w:val="single" w:sz="4" w:space="0" w:color="auto"/>
              <w:right w:val="single" w:sz="4" w:space="0" w:color="auto"/>
            </w:tcBorders>
            <w:vAlign w:val="center"/>
            <w:hideMark/>
          </w:tcPr>
          <w:p w14:paraId="0E894177" w14:textId="77777777" w:rsidR="0077672F" w:rsidRPr="006B0D8A" w:rsidRDefault="0077672F" w:rsidP="0077672F">
            <w:pPr>
              <w:spacing w:after="60"/>
              <w:rPr>
                <w:rFonts w:eastAsia="Times New Roman" w:cs="Arial"/>
                <w:color w:val="000000"/>
                <w:sz w:val="18"/>
                <w:szCs w:val="18"/>
                <w:lang w:eastAsia="fr-FR"/>
              </w:rPr>
            </w:pPr>
          </w:p>
        </w:tc>
        <w:tc>
          <w:tcPr>
            <w:tcW w:w="1025" w:type="dxa"/>
            <w:vMerge/>
            <w:tcBorders>
              <w:top w:val="nil"/>
              <w:left w:val="single" w:sz="4" w:space="0" w:color="auto"/>
              <w:bottom w:val="single" w:sz="4" w:space="0" w:color="auto"/>
              <w:right w:val="single" w:sz="4" w:space="0" w:color="auto"/>
            </w:tcBorders>
            <w:vAlign w:val="center"/>
            <w:hideMark/>
          </w:tcPr>
          <w:p w14:paraId="42A11E11" w14:textId="77777777" w:rsidR="0077672F" w:rsidRPr="006B0D8A" w:rsidRDefault="0077672F" w:rsidP="0077672F">
            <w:pPr>
              <w:spacing w:after="60"/>
              <w:rPr>
                <w:rFonts w:eastAsia="Times New Roman" w:cs="Arial"/>
                <w:color w:val="000000"/>
                <w:sz w:val="18"/>
                <w:szCs w:val="18"/>
                <w:lang w:eastAsia="fr-FR"/>
              </w:rPr>
            </w:pPr>
          </w:p>
        </w:tc>
        <w:tc>
          <w:tcPr>
            <w:tcW w:w="1704" w:type="dxa"/>
            <w:tcBorders>
              <w:top w:val="nil"/>
              <w:left w:val="nil"/>
              <w:bottom w:val="single" w:sz="4" w:space="0" w:color="auto"/>
              <w:right w:val="single" w:sz="4" w:space="0" w:color="auto"/>
            </w:tcBorders>
            <w:shd w:val="clear" w:color="auto" w:fill="auto"/>
            <w:hideMark/>
          </w:tcPr>
          <w:p w14:paraId="3A0B3B1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2.2.2.2.3.</w:t>
            </w:r>
          </w:p>
        </w:tc>
        <w:tc>
          <w:tcPr>
            <w:tcW w:w="410" w:type="dxa"/>
            <w:tcBorders>
              <w:top w:val="nil"/>
              <w:left w:val="nil"/>
              <w:bottom w:val="single" w:sz="4" w:space="0" w:color="auto"/>
              <w:right w:val="single" w:sz="4" w:space="0" w:color="auto"/>
            </w:tcBorders>
            <w:shd w:val="clear" w:color="auto" w:fill="auto"/>
            <w:hideMark/>
          </w:tcPr>
          <w:p w14:paraId="5BE7D44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25" w:type="dxa"/>
            <w:tcBorders>
              <w:top w:val="nil"/>
              <w:left w:val="nil"/>
              <w:bottom w:val="single" w:sz="4" w:space="0" w:color="auto"/>
              <w:right w:val="single" w:sz="4" w:space="0" w:color="auto"/>
            </w:tcBorders>
            <w:shd w:val="clear" w:color="auto" w:fill="auto"/>
            <w:hideMark/>
          </w:tcPr>
          <w:p w14:paraId="67C679B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4" w:type="dxa"/>
            <w:tcBorders>
              <w:top w:val="nil"/>
              <w:left w:val="nil"/>
              <w:bottom w:val="single" w:sz="4" w:space="0" w:color="auto"/>
              <w:right w:val="single" w:sz="4" w:space="0" w:color="auto"/>
            </w:tcBorders>
            <w:shd w:val="clear" w:color="auto" w:fill="auto"/>
            <w:hideMark/>
          </w:tcPr>
          <w:p w14:paraId="4438FD0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16" w:type="dxa"/>
            <w:tcBorders>
              <w:top w:val="nil"/>
              <w:left w:val="nil"/>
              <w:bottom w:val="single" w:sz="4" w:space="0" w:color="auto"/>
              <w:right w:val="single" w:sz="4" w:space="0" w:color="auto"/>
            </w:tcBorders>
            <w:shd w:val="clear" w:color="auto" w:fill="auto"/>
            <w:hideMark/>
          </w:tcPr>
          <w:p w14:paraId="594F1C2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818" w:type="dxa"/>
            <w:tcBorders>
              <w:top w:val="nil"/>
              <w:left w:val="nil"/>
              <w:bottom w:val="single" w:sz="4" w:space="0" w:color="auto"/>
              <w:right w:val="single" w:sz="4" w:space="0" w:color="auto"/>
            </w:tcBorders>
            <w:shd w:val="clear" w:color="auto" w:fill="auto"/>
            <w:hideMark/>
          </w:tcPr>
          <w:p w14:paraId="4AF7E99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515" w:type="dxa"/>
            <w:tcBorders>
              <w:top w:val="nil"/>
              <w:left w:val="nil"/>
              <w:bottom w:val="single" w:sz="4" w:space="0" w:color="auto"/>
              <w:right w:val="single" w:sz="4" w:space="0" w:color="auto"/>
            </w:tcBorders>
            <w:shd w:val="clear" w:color="auto" w:fill="auto"/>
            <w:hideMark/>
          </w:tcPr>
          <w:p w14:paraId="23CA505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985" w:type="dxa"/>
            <w:tcBorders>
              <w:top w:val="nil"/>
              <w:left w:val="nil"/>
              <w:bottom w:val="single" w:sz="4" w:space="0" w:color="auto"/>
              <w:right w:val="single" w:sz="4" w:space="0" w:color="auto"/>
            </w:tcBorders>
            <w:shd w:val="clear" w:color="auto" w:fill="auto"/>
            <w:hideMark/>
          </w:tcPr>
          <w:p w14:paraId="2379738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bl>
    <w:p w14:paraId="2ED83940" w14:textId="77777777" w:rsidR="0077672F" w:rsidRPr="0077672F" w:rsidRDefault="0077672F" w:rsidP="0077672F"/>
    <w:p w14:paraId="2D95CF3E" w14:textId="7AB2482C" w:rsidR="0077672F" w:rsidRDefault="0077672F" w:rsidP="0077672F">
      <w:pPr>
        <w:pStyle w:val="Titre3"/>
      </w:pPr>
      <w:bookmarkStart w:id="110" w:name="_Toc135048586"/>
      <w:bookmarkStart w:id="111" w:name="_Toc135140204"/>
      <w:r w:rsidRPr="0077672F">
        <w:rPr>
          <w:u w:val="single"/>
        </w:rPr>
        <w:t>ANNEXE 3</w:t>
      </w:r>
      <w:r>
        <w:t xml:space="preserve"> </w:t>
      </w:r>
      <w:r w:rsidRPr="0077672F">
        <w:t>: Cadre de mesure de la performance</w:t>
      </w:r>
      <w:bookmarkEnd w:id="110"/>
      <w:bookmarkEnd w:id="111"/>
      <w:r w:rsidRPr="0077672F">
        <w:t xml:space="preserve"> </w:t>
      </w:r>
    </w:p>
    <w:tbl>
      <w:tblPr>
        <w:tblW w:w="5633" w:type="pct"/>
        <w:tblInd w:w="-431" w:type="dxa"/>
        <w:tblLayout w:type="fixed"/>
        <w:tblCellMar>
          <w:left w:w="70" w:type="dxa"/>
          <w:right w:w="70" w:type="dxa"/>
        </w:tblCellMar>
        <w:tblLook w:val="04A0" w:firstRow="1" w:lastRow="0" w:firstColumn="1" w:lastColumn="0" w:noHBand="0" w:noVBand="1"/>
      </w:tblPr>
      <w:tblGrid>
        <w:gridCol w:w="1560"/>
        <w:gridCol w:w="749"/>
        <w:gridCol w:w="668"/>
        <w:gridCol w:w="931"/>
        <w:gridCol w:w="302"/>
        <w:gridCol w:w="302"/>
        <w:gridCol w:w="302"/>
        <w:gridCol w:w="710"/>
        <w:gridCol w:w="710"/>
        <w:gridCol w:w="627"/>
        <w:gridCol w:w="1078"/>
        <w:gridCol w:w="1276"/>
        <w:gridCol w:w="992"/>
      </w:tblGrid>
      <w:tr w:rsidR="0077672F" w:rsidRPr="006B0D8A" w14:paraId="3FB2DA44" w14:textId="77777777" w:rsidTr="0077672F">
        <w:trPr>
          <w:trHeight w:val="354"/>
        </w:trPr>
        <w:tc>
          <w:tcPr>
            <w:tcW w:w="764" w:type="pct"/>
            <w:vMerge w:val="restart"/>
            <w:tcBorders>
              <w:top w:val="single" w:sz="4" w:space="0" w:color="auto"/>
              <w:left w:val="single" w:sz="4" w:space="0" w:color="auto"/>
              <w:bottom w:val="single" w:sz="4" w:space="0" w:color="000000"/>
              <w:right w:val="single" w:sz="4" w:space="0" w:color="auto"/>
            </w:tcBorders>
            <w:shd w:val="clear" w:color="auto" w:fill="E2EFD9" w:themeFill="accent6" w:themeFillTint="33"/>
            <w:vAlign w:val="center"/>
            <w:hideMark/>
          </w:tcPr>
          <w:p w14:paraId="60B523D2"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Résultats attendus</w:t>
            </w:r>
          </w:p>
        </w:tc>
        <w:tc>
          <w:tcPr>
            <w:tcW w:w="367"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202C2980"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 xml:space="preserve">Actions </w:t>
            </w:r>
          </w:p>
        </w:tc>
        <w:tc>
          <w:tcPr>
            <w:tcW w:w="327"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5940D0CA"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 xml:space="preserve">Indicateurs </w:t>
            </w:r>
          </w:p>
        </w:tc>
        <w:tc>
          <w:tcPr>
            <w:tcW w:w="456" w:type="pct"/>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2696C58D"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Situation de référence</w:t>
            </w:r>
          </w:p>
        </w:tc>
        <w:tc>
          <w:tcPr>
            <w:tcW w:w="444" w:type="pct"/>
            <w:gridSpan w:val="3"/>
            <w:tcBorders>
              <w:top w:val="single" w:sz="4" w:space="0" w:color="auto"/>
              <w:left w:val="nil"/>
              <w:bottom w:val="single" w:sz="4" w:space="0" w:color="auto"/>
              <w:right w:val="single" w:sz="4" w:space="0" w:color="000000"/>
            </w:tcBorders>
            <w:shd w:val="clear" w:color="auto" w:fill="E2EFD9" w:themeFill="accent6" w:themeFillTint="33"/>
            <w:vAlign w:val="center"/>
            <w:hideMark/>
          </w:tcPr>
          <w:p w14:paraId="012588D8"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Cibles</w:t>
            </w:r>
          </w:p>
        </w:tc>
        <w:tc>
          <w:tcPr>
            <w:tcW w:w="348"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17FF790C"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Méthode de calcul</w:t>
            </w:r>
          </w:p>
        </w:tc>
        <w:tc>
          <w:tcPr>
            <w:tcW w:w="348"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ED38C24"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Méthode de collecte</w:t>
            </w:r>
          </w:p>
        </w:tc>
        <w:tc>
          <w:tcPr>
            <w:tcW w:w="307" w:type="pct"/>
            <w:vMerge w:val="restart"/>
            <w:tcBorders>
              <w:top w:val="single" w:sz="4" w:space="0" w:color="auto"/>
              <w:left w:val="single" w:sz="4" w:space="0" w:color="auto"/>
              <w:bottom w:val="single" w:sz="4" w:space="0" w:color="000000"/>
              <w:right w:val="single" w:sz="4" w:space="0" w:color="auto"/>
            </w:tcBorders>
            <w:shd w:val="clear" w:color="auto" w:fill="E2EFD9" w:themeFill="accent6" w:themeFillTint="33"/>
            <w:vAlign w:val="center"/>
            <w:hideMark/>
          </w:tcPr>
          <w:p w14:paraId="54B40AB2"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 xml:space="preserve">Source de collecte </w:t>
            </w:r>
          </w:p>
        </w:tc>
        <w:tc>
          <w:tcPr>
            <w:tcW w:w="528" w:type="pct"/>
            <w:vMerge w:val="restart"/>
            <w:tcBorders>
              <w:top w:val="single" w:sz="4" w:space="0" w:color="auto"/>
              <w:left w:val="single" w:sz="4" w:space="0" w:color="auto"/>
              <w:bottom w:val="single" w:sz="4" w:space="0" w:color="000000"/>
              <w:right w:val="single" w:sz="4" w:space="0" w:color="auto"/>
            </w:tcBorders>
            <w:shd w:val="clear" w:color="auto" w:fill="E2EFD9" w:themeFill="accent6" w:themeFillTint="33"/>
            <w:vAlign w:val="center"/>
            <w:hideMark/>
          </w:tcPr>
          <w:p w14:paraId="1A0B2715"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Fréquence de la production de l'indicateur</w:t>
            </w:r>
          </w:p>
        </w:tc>
        <w:tc>
          <w:tcPr>
            <w:tcW w:w="625"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8E710FE"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Responsable de la production de l'indicateur</w:t>
            </w:r>
          </w:p>
        </w:tc>
        <w:tc>
          <w:tcPr>
            <w:tcW w:w="486"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1383BB3D"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 xml:space="preserve">Acteurs impliqués </w:t>
            </w:r>
          </w:p>
        </w:tc>
      </w:tr>
      <w:tr w:rsidR="0077672F" w:rsidRPr="006B0D8A" w14:paraId="4080EE27" w14:textId="77777777" w:rsidTr="0077672F">
        <w:trPr>
          <w:trHeight w:val="295"/>
        </w:trPr>
        <w:tc>
          <w:tcPr>
            <w:tcW w:w="764" w:type="pct"/>
            <w:vMerge/>
            <w:tcBorders>
              <w:top w:val="single" w:sz="4" w:space="0" w:color="auto"/>
              <w:left w:val="single" w:sz="4" w:space="0" w:color="auto"/>
              <w:bottom w:val="single" w:sz="4" w:space="0" w:color="000000"/>
              <w:right w:val="single" w:sz="4" w:space="0" w:color="auto"/>
            </w:tcBorders>
            <w:vAlign w:val="center"/>
            <w:hideMark/>
          </w:tcPr>
          <w:p w14:paraId="4B6C4B01" w14:textId="77777777" w:rsidR="0077672F" w:rsidRPr="006B0D8A" w:rsidRDefault="0077672F" w:rsidP="0077672F">
            <w:pPr>
              <w:spacing w:after="60"/>
              <w:rPr>
                <w:rFonts w:eastAsia="Times New Roman" w:cs="Arial"/>
                <w:b/>
                <w:bCs/>
                <w:color w:val="000000"/>
                <w:sz w:val="18"/>
                <w:szCs w:val="18"/>
                <w:lang w:eastAsia="fr-FR"/>
              </w:rPr>
            </w:pPr>
          </w:p>
        </w:tc>
        <w:tc>
          <w:tcPr>
            <w:tcW w:w="367" w:type="pct"/>
            <w:vMerge/>
            <w:tcBorders>
              <w:top w:val="single" w:sz="4" w:space="0" w:color="auto"/>
              <w:left w:val="single" w:sz="4" w:space="0" w:color="auto"/>
              <w:bottom w:val="single" w:sz="4" w:space="0" w:color="auto"/>
              <w:right w:val="single" w:sz="4" w:space="0" w:color="auto"/>
            </w:tcBorders>
            <w:vAlign w:val="center"/>
            <w:hideMark/>
          </w:tcPr>
          <w:p w14:paraId="14863936" w14:textId="77777777" w:rsidR="0077672F" w:rsidRPr="006B0D8A" w:rsidRDefault="0077672F" w:rsidP="0077672F">
            <w:pPr>
              <w:spacing w:after="60"/>
              <w:rPr>
                <w:rFonts w:eastAsia="Times New Roman" w:cs="Arial"/>
                <w:b/>
                <w:bCs/>
                <w:color w:val="000000"/>
                <w:sz w:val="18"/>
                <w:szCs w:val="18"/>
                <w:lang w:eastAsia="fr-FR"/>
              </w:rPr>
            </w:pPr>
          </w:p>
        </w:tc>
        <w:tc>
          <w:tcPr>
            <w:tcW w:w="327" w:type="pct"/>
            <w:vMerge/>
            <w:tcBorders>
              <w:top w:val="single" w:sz="4" w:space="0" w:color="auto"/>
              <w:left w:val="single" w:sz="4" w:space="0" w:color="auto"/>
              <w:bottom w:val="single" w:sz="4" w:space="0" w:color="auto"/>
              <w:right w:val="single" w:sz="4" w:space="0" w:color="auto"/>
            </w:tcBorders>
            <w:vAlign w:val="center"/>
            <w:hideMark/>
          </w:tcPr>
          <w:p w14:paraId="7C4D89E8" w14:textId="77777777" w:rsidR="0077672F" w:rsidRPr="006B0D8A" w:rsidRDefault="0077672F" w:rsidP="0077672F">
            <w:pPr>
              <w:spacing w:after="60"/>
              <w:rPr>
                <w:rFonts w:eastAsia="Times New Roman" w:cs="Arial"/>
                <w:b/>
                <w:bCs/>
                <w:color w:val="000000"/>
                <w:sz w:val="18"/>
                <w:szCs w:val="18"/>
                <w:lang w:eastAsia="fr-FR"/>
              </w:rPr>
            </w:pPr>
          </w:p>
        </w:tc>
        <w:tc>
          <w:tcPr>
            <w:tcW w:w="456" w:type="pct"/>
            <w:tcBorders>
              <w:top w:val="nil"/>
              <w:left w:val="nil"/>
              <w:bottom w:val="single" w:sz="4" w:space="0" w:color="auto"/>
              <w:right w:val="single" w:sz="4" w:space="0" w:color="auto"/>
            </w:tcBorders>
            <w:shd w:val="clear" w:color="auto" w:fill="E2EFD9" w:themeFill="accent6" w:themeFillTint="33"/>
            <w:vAlign w:val="center"/>
            <w:hideMark/>
          </w:tcPr>
          <w:p w14:paraId="45B07973"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T1</w:t>
            </w:r>
          </w:p>
        </w:tc>
        <w:tc>
          <w:tcPr>
            <w:tcW w:w="148" w:type="pct"/>
            <w:tcBorders>
              <w:top w:val="nil"/>
              <w:left w:val="nil"/>
              <w:bottom w:val="single" w:sz="4" w:space="0" w:color="auto"/>
              <w:right w:val="single" w:sz="4" w:space="0" w:color="auto"/>
            </w:tcBorders>
            <w:shd w:val="clear" w:color="auto" w:fill="E2EFD9" w:themeFill="accent6" w:themeFillTint="33"/>
            <w:vAlign w:val="center"/>
            <w:hideMark/>
          </w:tcPr>
          <w:p w14:paraId="1E300779"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T2</w:t>
            </w:r>
          </w:p>
        </w:tc>
        <w:tc>
          <w:tcPr>
            <w:tcW w:w="148" w:type="pct"/>
            <w:tcBorders>
              <w:top w:val="nil"/>
              <w:left w:val="nil"/>
              <w:bottom w:val="single" w:sz="4" w:space="0" w:color="auto"/>
              <w:right w:val="single" w:sz="4" w:space="0" w:color="auto"/>
            </w:tcBorders>
            <w:shd w:val="clear" w:color="auto" w:fill="E2EFD9" w:themeFill="accent6" w:themeFillTint="33"/>
            <w:vAlign w:val="center"/>
            <w:hideMark/>
          </w:tcPr>
          <w:p w14:paraId="339B6681"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T3</w:t>
            </w:r>
          </w:p>
        </w:tc>
        <w:tc>
          <w:tcPr>
            <w:tcW w:w="148" w:type="pct"/>
            <w:tcBorders>
              <w:top w:val="nil"/>
              <w:left w:val="nil"/>
              <w:bottom w:val="single" w:sz="4" w:space="0" w:color="auto"/>
              <w:right w:val="single" w:sz="4" w:space="0" w:color="auto"/>
            </w:tcBorders>
            <w:shd w:val="clear" w:color="auto" w:fill="E2EFD9" w:themeFill="accent6" w:themeFillTint="33"/>
            <w:vAlign w:val="center"/>
            <w:hideMark/>
          </w:tcPr>
          <w:p w14:paraId="6BB82985" w14:textId="77777777" w:rsidR="0077672F" w:rsidRPr="006B0D8A" w:rsidRDefault="0077672F" w:rsidP="0077672F">
            <w:pPr>
              <w:spacing w:after="60"/>
              <w:jc w:val="center"/>
              <w:rPr>
                <w:rFonts w:eastAsia="Times New Roman" w:cs="Arial"/>
                <w:b/>
                <w:bCs/>
                <w:color w:val="000000"/>
                <w:sz w:val="18"/>
                <w:szCs w:val="18"/>
                <w:lang w:eastAsia="fr-FR"/>
              </w:rPr>
            </w:pPr>
            <w:r w:rsidRPr="006B0D8A">
              <w:rPr>
                <w:rFonts w:eastAsia="Times New Roman" w:cs="Arial"/>
                <w:b/>
                <w:bCs/>
                <w:color w:val="000000"/>
                <w:sz w:val="18"/>
                <w:szCs w:val="18"/>
                <w:lang w:eastAsia="fr-FR"/>
              </w:rPr>
              <w:t>T4</w:t>
            </w:r>
          </w:p>
        </w:tc>
        <w:tc>
          <w:tcPr>
            <w:tcW w:w="348" w:type="pct"/>
            <w:vMerge/>
            <w:tcBorders>
              <w:top w:val="single" w:sz="4" w:space="0" w:color="auto"/>
              <w:left w:val="single" w:sz="4" w:space="0" w:color="auto"/>
              <w:bottom w:val="single" w:sz="4" w:space="0" w:color="auto"/>
              <w:right w:val="single" w:sz="4" w:space="0" w:color="auto"/>
            </w:tcBorders>
            <w:vAlign w:val="center"/>
            <w:hideMark/>
          </w:tcPr>
          <w:p w14:paraId="131DB82C" w14:textId="77777777" w:rsidR="0077672F" w:rsidRPr="006B0D8A" w:rsidRDefault="0077672F" w:rsidP="0077672F">
            <w:pPr>
              <w:spacing w:after="60"/>
              <w:rPr>
                <w:rFonts w:eastAsia="Times New Roman" w:cs="Arial"/>
                <w:b/>
                <w:bCs/>
                <w:color w:val="000000"/>
                <w:sz w:val="18"/>
                <w:szCs w:val="18"/>
                <w:lang w:eastAsia="fr-FR"/>
              </w:rPr>
            </w:pPr>
          </w:p>
        </w:tc>
        <w:tc>
          <w:tcPr>
            <w:tcW w:w="348" w:type="pct"/>
            <w:vMerge/>
            <w:tcBorders>
              <w:top w:val="single" w:sz="4" w:space="0" w:color="auto"/>
              <w:left w:val="single" w:sz="4" w:space="0" w:color="auto"/>
              <w:bottom w:val="single" w:sz="4" w:space="0" w:color="auto"/>
              <w:right w:val="single" w:sz="4" w:space="0" w:color="auto"/>
            </w:tcBorders>
            <w:vAlign w:val="center"/>
            <w:hideMark/>
          </w:tcPr>
          <w:p w14:paraId="762F3657" w14:textId="77777777" w:rsidR="0077672F" w:rsidRPr="006B0D8A" w:rsidRDefault="0077672F" w:rsidP="0077672F">
            <w:pPr>
              <w:spacing w:after="60"/>
              <w:rPr>
                <w:rFonts w:eastAsia="Times New Roman" w:cs="Arial"/>
                <w:b/>
                <w:bCs/>
                <w:color w:val="000000"/>
                <w:sz w:val="18"/>
                <w:szCs w:val="18"/>
                <w:lang w:eastAsia="fr-FR"/>
              </w:rPr>
            </w:pPr>
          </w:p>
        </w:tc>
        <w:tc>
          <w:tcPr>
            <w:tcW w:w="307" w:type="pct"/>
            <w:vMerge/>
            <w:tcBorders>
              <w:top w:val="single" w:sz="4" w:space="0" w:color="auto"/>
              <w:left w:val="single" w:sz="4" w:space="0" w:color="auto"/>
              <w:bottom w:val="single" w:sz="4" w:space="0" w:color="000000"/>
              <w:right w:val="single" w:sz="4" w:space="0" w:color="auto"/>
            </w:tcBorders>
            <w:vAlign w:val="center"/>
            <w:hideMark/>
          </w:tcPr>
          <w:p w14:paraId="0C4496F4" w14:textId="77777777" w:rsidR="0077672F" w:rsidRPr="006B0D8A" w:rsidRDefault="0077672F" w:rsidP="0077672F">
            <w:pPr>
              <w:spacing w:after="60"/>
              <w:rPr>
                <w:rFonts w:eastAsia="Times New Roman" w:cs="Arial"/>
                <w:b/>
                <w:bCs/>
                <w:color w:val="000000"/>
                <w:sz w:val="18"/>
                <w:szCs w:val="18"/>
                <w:lang w:eastAsia="fr-FR"/>
              </w:rPr>
            </w:pPr>
          </w:p>
        </w:tc>
        <w:tc>
          <w:tcPr>
            <w:tcW w:w="528" w:type="pct"/>
            <w:vMerge/>
            <w:tcBorders>
              <w:top w:val="single" w:sz="4" w:space="0" w:color="auto"/>
              <w:left w:val="single" w:sz="4" w:space="0" w:color="auto"/>
              <w:bottom w:val="single" w:sz="4" w:space="0" w:color="000000"/>
              <w:right w:val="single" w:sz="4" w:space="0" w:color="auto"/>
            </w:tcBorders>
            <w:vAlign w:val="center"/>
            <w:hideMark/>
          </w:tcPr>
          <w:p w14:paraId="3E5FBF1F" w14:textId="77777777" w:rsidR="0077672F" w:rsidRPr="006B0D8A" w:rsidRDefault="0077672F" w:rsidP="0077672F">
            <w:pPr>
              <w:spacing w:after="60"/>
              <w:rPr>
                <w:rFonts w:eastAsia="Times New Roman" w:cs="Arial"/>
                <w:b/>
                <w:bCs/>
                <w:color w:val="000000"/>
                <w:sz w:val="18"/>
                <w:szCs w:val="18"/>
                <w:lang w:eastAsia="fr-FR"/>
              </w:rPr>
            </w:pPr>
          </w:p>
        </w:tc>
        <w:tc>
          <w:tcPr>
            <w:tcW w:w="625" w:type="pct"/>
            <w:vMerge/>
            <w:tcBorders>
              <w:top w:val="single" w:sz="4" w:space="0" w:color="auto"/>
              <w:left w:val="single" w:sz="4" w:space="0" w:color="auto"/>
              <w:bottom w:val="single" w:sz="4" w:space="0" w:color="auto"/>
              <w:right w:val="single" w:sz="4" w:space="0" w:color="auto"/>
            </w:tcBorders>
            <w:vAlign w:val="center"/>
            <w:hideMark/>
          </w:tcPr>
          <w:p w14:paraId="7A33CFBD" w14:textId="77777777" w:rsidR="0077672F" w:rsidRPr="006B0D8A" w:rsidRDefault="0077672F" w:rsidP="0077672F">
            <w:pPr>
              <w:spacing w:after="60"/>
              <w:rPr>
                <w:rFonts w:eastAsia="Times New Roman" w:cs="Arial"/>
                <w:b/>
                <w:bCs/>
                <w:color w:val="000000"/>
                <w:sz w:val="18"/>
                <w:szCs w:val="18"/>
                <w:lang w:eastAsia="fr-FR"/>
              </w:rPr>
            </w:pPr>
          </w:p>
        </w:tc>
        <w:tc>
          <w:tcPr>
            <w:tcW w:w="486" w:type="pct"/>
            <w:vMerge/>
            <w:tcBorders>
              <w:top w:val="single" w:sz="4" w:space="0" w:color="auto"/>
              <w:left w:val="single" w:sz="4" w:space="0" w:color="auto"/>
              <w:bottom w:val="single" w:sz="4" w:space="0" w:color="auto"/>
              <w:right w:val="single" w:sz="4" w:space="0" w:color="auto"/>
            </w:tcBorders>
            <w:vAlign w:val="center"/>
            <w:hideMark/>
          </w:tcPr>
          <w:p w14:paraId="30B590CE" w14:textId="77777777" w:rsidR="0077672F" w:rsidRPr="006B0D8A" w:rsidRDefault="0077672F" w:rsidP="0077672F">
            <w:pPr>
              <w:spacing w:after="60"/>
              <w:rPr>
                <w:rFonts w:eastAsia="Times New Roman" w:cs="Arial"/>
                <w:b/>
                <w:bCs/>
                <w:color w:val="000000"/>
                <w:sz w:val="18"/>
                <w:szCs w:val="18"/>
                <w:lang w:eastAsia="fr-FR"/>
              </w:rPr>
            </w:pPr>
          </w:p>
        </w:tc>
      </w:tr>
      <w:tr w:rsidR="0077672F" w:rsidRPr="0077672F" w14:paraId="382394C4"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C6E0B4"/>
            <w:hideMark/>
          </w:tcPr>
          <w:p w14:paraId="03CF05F1" w14:textId="357CEE16" w:rsidR="0077672F" w:rsidRPr="0077672F" w:rsidRDefault="0077672F" w:rsidP="0077672F">
            <w:pPr>
              <w:spacing w:after="60"/>
              <w:jc w:val="center"/>
              <w:rPr>
                <w:rFonts w:eastAsia="Times New Roman" w:cs="Arial"/>
                <w:b/>
                <w:bCs/>
                <w:color w:val="000000"/>
                <w:sz w:val="22"/>
                <w:lang w:eastAsia="fr-FR"/>
              </w:rPr>
            </w:pPr>
            <w:r w:rsidRPr="0077672F">
              <w:rPr>
                <w:rFonts w:eastAsia="Times New Roman" w:cs="Arial"/>
                <w:b/>
                <w:bCs/>
                <w:color w:val="000000"/>
                <w:sz w:val="22"/>
                <w:lang w:eastAsia="fr-FR"/>
              </w:rPr>
              <w:t>Résultat ultime</w:t>
            </w:r>
          </w:p>
        </w:tc>
      </w:tr>
      <w:tr w:rsidR="0077672F" w:rsidRPr="006B0D8A" w14:paraId="748BB403" w14:textId="77777777" w:rsidTr="0077672F">
        <w:trPr>
          <w:trHeight w:val="516"/>
        </w:trPr>
        <w:tc>
          <w:tcPr>
            <w:tcW w:w="5000" w:type="pct"/>
            <w:gridSpan w:val="13"/>
            <w:tcBorders>
              <w:top w:val="single" w:sz="4" w:space="0" w:color="auto"/>
              <w:left w:val="single" w:sz="4" w:space="0" w:color="auto"/>
              <w:bottom w:val="single" w:sz="4" w:space="0" w:color="auto"/>
              <w:right w:val="single" w:sz="4" w:space="0" w:color="auto"/>
            </w:tcBorders>
            <w:shd w:val="clear" w:color="000000" w:fill="FFFF00"/>
            <w:hideMark/>
          </w:tcPr>
          <w:p w14:paraId="6D97D322" w14:textId="74C29A7F" w:rsidR="0077672F" w:rsidRPr="0077672F" w:rsidRDefault="0077672F" w:rsidP="0077672F">
            <w:pPr>
              <w:spacing w:after="60"/>
              <w:jc w:val="center"/>
              <w:rPr>
                <w:rFonts w:eastAsia="Times New Roman" w:cs="Arial"/>
                <w:b/>
                <w:bCs/>
                <w:color w:val="000000"/>
                <w:szCs w:val="24"/>
                <w:lang w:eastAsia="fr-FR"/>
              </w:rPr>
            </w:pPr>
            <w:r w:rsidRPr="0077672F">
              <w:rPr>
                <w:rFonts w:eastAsia="Times New Roman" w:cs="Arial"/>
                <w:b/>
                <w:bCs/>
                <w:color w:val="000000"/>
                <w:szCs w:val="24"/>
                <w:lang w:eastAsia="fr-FR"/>
              </w:rPr>
              <w:t>Résultat intermédiaire 1. Gouvernance de l’intégration régionale</w:t>
            </w:r>
          </w:p>
        </w:tc>
      </w:tr>
      <w:tr w:rsidR="0077672F" w:rsidRPr="0077672F" w14:paraId="5DC42417" w14:textId="77777777" w:rsidTr="0077672F">
        <w:trPr>
          <w:trHeight w:val="205"/>
        </w:trPr>
        <w:tc>
          <w:tcPr>
            <w:tcW w:w="5000" w:type="pct"/>
            <w:gridSpan w:val="13"/>
            <w:tcBorders>
              <w:top w:val="single" w:sz="4" w:space="0" w:color="auto"/>
              <w:left w:val="single" w:sz="4" w:space="0" w:color="auto"/>
              <w:bottom w:val="single" w:sz="4" w:space="0" w:color="auto"/>
              <w:right w:val="single" w:sz="4" w:space="0" w:color="auto"/>
            </w:tcBorders>
            <w:shd w:val="clear" w:color="000000" w:fill="C6E0B4"/>
            <w:hideMark/>
          </w:tcPr>
          <w:p w14:paraId="62832F8D" w14:textId="4567A5AC" w:rsidR="0077672F" w:rsidRPr="0077672F" w:rsidRDefault="0077672F" w:rsidP="0077672F">
            <w:pPr>
              <w:spacing w:after="60"/>
              <w:jc w:val="center"/>
              <w:rPr>
                <w:rFonts w:eastAsia="Times New Roman" w:cs="Arial"/>
                <w:sz w:val="22"/>
                <w:lang w:eastAsia="fr-FR"/>
              </w:rPr>
            </w:pPr>
            <w:r w:rsidRPr="0077672F">
              <w:rPr>
                <w:rFonts w:eastAsia="Times New Roman" w:cs="Arial"/>
                <w:b/>
                <w:bCs/>
                <w:sz w:val="22"/>
                <w:lang w:eastAsia="fr-FR"/>
              </w:rPr>
              <w:t>Résultat Immédiat 1.1.   OS 1</w:t>
            </w:r>
          </w:p>
        </w:tc>
      </w:tr>
      <w:tr w:rsidR="0077672F" w:rsidRPr="006B0D8A" w14:paraId="3DBFD039" w14:textId="77777777" w:rsidTr="0077672F">
        <w:trPr>
          <w:trHeight w:val="398"/>
        </w:trPr>
        <w:tc>
          <w:tcPr>
            <w:tcW w:w="1131" w:type="pct"/>
            <w:gridSpan w:val="2"/>
            <w:tcBorders>
              <w:top w:val="single" w:sz="4" w:space="0" w:color="auto"/>
              <w:left w:val="single" w:sz="4" w:space="0" w:color="auto"/>
              <w:bottom w:val="single" w:sz="4" w:space="0" w:color="auto"/>
              <w:right w:val="single" w:sz="4" w:space="0" w:color="000000"/>
            </w:tcBorders>
            <w:shd w:val="clear" w:color="000000" w:fill="FDE9D9"/>
            <w:hideMark/>
          </w:tcPr>
          <w:p w14:paraId="48A96776" w14:textId="77777777" w:rsidR="0077672F" w:rsidRPr="006B0D8A" w:rsidRDefault="0077672F" w:rsidP="0077672F">
            <w:pPr>
              <w:spacing w:after="60"/>
              <w:jc w:val="center"/>
              <w:rPr>
                <w:rFonts w:eastAsia="Times New Roman" w:cs="Arial"/>
                <w:b/>
                <w:bCs/>
                <w:sz w:val="18"/>
                <w:szCs w:val="18"/>
                <w:lang w:eastAsia="fr-FR"/>
              </w:rPr>
            </w:pPr>
            <w:r w:rsidRPr="006B0D8A">
              <w:rPr>
                <w:rFonts w:eastAsia="Times New Roman" w:cs="Arial"/>
                <w:b/>
                <w:bCs/>
                <w:sz w:val="18"/>
                <w:szCs w:val="18"/>
                <w:lang w:eastAsia="fr-FR"/>
              </w:rPr>
              <w:t>Extrant 1.1.1.</w:t>
            </w:r>
          </w:p>
        </w:tc>
        <w:tc>
          <w:tcPr>
            <w:tcW w:w="327" w:type="pct"/>
            <w:tcBorders>
              <w:top w:val="nil"/>
              <w:left w:val="nil"/>
              <w:bottom w:val="single" w:sz="4" w:space="0" w:color="auto"/>
              <w:right w:val="single" w:sz="4" w:space="0" w:color="auto"/>
            </w:tcBorders>
            <w:shd w:val="clear" w:color="000000" w:fill="FDE9D9"/>
            <w:noWrap/>
            <w:hideMark/>
          </w:tcPr>
          <w:p w14:paraId="25F3034B"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000000" w:fill="FDE9D9"/>
            <w:noWrap/>
            <w:hideMark/>
          </w:tcPr>
          <w:p w14:paraId="76D21D86"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148" w:type="pct"/>
            <w:tcBorders>
              <w:top w:val="nil"/>
              <w:left w:val="nil"/>
              <w:bottom w:val="single" w:sz="4" w:space="0" w:color="auto"/>
              <w:right w:val="single" w:sz="4" w:space="0" w:color="auto"/>
            </w:tcBorders>
            <w:shd w:val="clear" w:color="000000" w:fill="FDE9D9"/>
            <w:noWrap/>
            <w:hideMark/>
          </w:tcPr>
          <w:p w14:paraId="75C3903E"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148" w:type="pct"/>
            <w:tcBorders>
              <w:top w:val="nil"/>
              <w:left w:val="nil"/>
              <w:bottom w:val="single" w:sz="4" w:space="0" w:color="auto"/>
              <w:right w:val="single" w:sz="4" w:space="0" w:color="auto"/>
            </w:tcBorders>
            <w:shd w:val="clear" w:color="000000" w:fill="FDE9D9"/>
            <w:noWrap/>
            <w:hideMark/>
          </w:tcPr>
          <w:p w14:paraId="6A819062"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148" w:type="pct"/>
            <w:tcBorders>
              <w:top w:val="nil"/>
              <w:left w:val="nil"/>
              <w:bottom w:val="single" w:sz="4" w:space="0" w:color="auto"/>
              <w:right w:val="single" w:sz="4" w:space="0" w:color="auto"/>
            </w:tcBorders>
            <w:shd w:val="clear" w:color="000000" w:fill="FDE9D9"/>
            <w:noWrap/>
            <w:hideMark/>
          </w:tcPr>
          <w:p w14:paraId="078CF52B"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348" w:type="pct"/>
            <w:tcBorders>
              <w:top w:val="nil"/>
              <w:left w:val="nil"/>
              <w:bottom w:val="single" w:sz="4" w:space="0" w:color="auto"/>
              <w:right w:val="single" w:sz="4" w:space="0" w:color="auto"/>
            </w:tcBorders>
            <w:shd w:val="clear" w:color="000000" w:fill="FDE9D9"/>
            <w:noWrap/>
            <w:hideMark/>
          </w:tcPr>
          <w:p w14:paraId="45A625DF"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348" w:type="pct"/>
            <w:tcBorders>
              <w:top w:val="nil"/>
              <w:left w:val="nil"/>
              <w:bottom w:val="single" w:sz="4" w:space="0" w:color="auto"/>
              <w:right w:val="single" w:sz="4" w:space="0" w:color="auto"/>
            </w:tcBorders>
            <w:shd w:val="clear" w:color="000000" w:fill="FDE9D9"/>
            <w:noWrap/>
            <w:hideMark/>
          </w:tcPr>
          <w:p w14:paraId="1207BF25"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307" w:type="pct"/>
            <w:tcBorders>
              <w:top w:val="nil"/>
              <w:left w:val="nil"/>
              <w:bottom w:val="single" w:sz="4" w:space="0" w:color="auto"/>
              <w:right w:val="single" w:sz="4" w:space="0" w:color="auto"/>
            </w:tcBorders>
            <w:shd w:val="clear" w:color="000000" w:fill="FDE9D9"/>
            <w:noWrap/>
            <w:hideMark/>
          </w:tcPr>
          <w:p w14:paraId="4E3CADD5"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528" w:type="pct"/>
            <w:tcBorders>
              <w:top w:val="nil"/>
              <w:left w:val="nil"/>
              <w:bottom w:val="single" w:sz="4" w:space="0" w:color="auto"/>
              <w:right w:val="single" w:sz="4" w:space="0" w:color="auto"/>
            </w:tcBorders>
            <w:shd w:val="clear" w:color="000000" w:fill="FDE9D9"/>
            <w:noWrap/>
            <w:hideMark/>
          </w:tcPr>
          <w:p w14:paraId="08E5917C"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625" w:type="pct"/>
            <w:tcBorders>
              <w:top w:val="nil"/>
              <w:left w:val="nil"/>
              <w:bottom w:val="single" w:sz="4" w:space="0" w:color="auto"/>
              <w:right w:val="single" w:sz="4" w:space="0" w:color="auto"/>
            </w:tcBorders>
            <w:shd w:val="clear" w:color="000000" w:fill="FDE9D9"/>
            <w:noWrap/>
            <w:hideMark/>
          </w:tcPr>
          <w:p w14:paraId="6A0AF200"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86" w:type="pct"/>
            <w:tcBorders>
              <w:top w:val="nil"/>
              <w:left w:val="nil"/>
              <w:bottom w:val="single" w:sz="4" w:space="0" w:color="auto"/>
              <w:right w:val="single" w:sz="4" w:space="0" w:color="auto"/>
            </w:tcBorders>
            <w:shd w:val="clear" w:color="000000" w:fill="FDE9D9"/>
            <w:noWrap/>
            <w:hideMark/>
          </w:tcPr>
          <w:p w14:paraId="40F2CD6E"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r>
      <w:tr w:rsidR="0077672F" w:rsidRPr="006B0D8A" w14:paraId="703A1977"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2A3FDB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1.1.1.1.1.</w:t>
            </w:r>
          </w:p>
        </w:tc>
        <w:tc>
          <w:tcPr>
            <w:tcW w:w="367"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684820C0" w14:textId="77777777" w:rsidR="0077672F" w:rsidRPr="006B0D8A" w:rsidRDefault="0077672F" w:rsidP="0077672F">
            <w:pPr>
              <w:spacing w:after="60"/>
              <w:jc w:val="center"/>
              <w:rPr>
                <w:rFonts w:eastAsia="Times New Roman" w:cs="Arial"/>
                <w:sz w:val="18"/>
                <w:szCs w:val="18"/>
                <w:lang w:eastAsia="fr-FR"/>
              </w:rPr>
            </w:pPr>
            <w:r w:rsidRPr="006B0D8A">
              <w:rPr>
                <w:rFonts w:eastAsia="Times New Roman" w:cs="Arial"/>
                <w:sz w:val="18"/>
                <w:szCs w:val="18"/>
                <w:lang w:eastAsia="fr-FR"/>
              </w:rPr>
              <w:t>1.</w:t>
            </w:r>
          </w:p>
        </w:tc>
        <w:tc>
          <w:tcPr>
            <w:tcW w:w="327" w:type="pct"/>
            <w:tcBorders>
              <w:top w:val="nil"/>
              <w:left w:val="nil"/>
              <w:bottom w:val="single" w:sz="4" w:space="0" w:color="auto"/>
              <w:right w:val="single" w:sz="4" w:space="0" w:color="auto"/>
            </w:tcBorders>
            <w:shd w:val="clear" w:color="auto" w:fill="auto"/>
            <w:hideMark/>
          </w:tcPr>
          <w:p w14:paraId="321D617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2C30B21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632C644F"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391109A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5DAB6B0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14351FC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5511701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1905BE7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0C68466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noWrap/>
            <w:hideMark/>
          </w:tcPr>
          <w:p w14:paraId="1761A43A"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17E6118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239A82AB"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7FEFCC6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1.1.1.1.2. </w:t>
            </w:r>
          </w:p>
        </w:tc>
        <w:tc>
          <w:tcPr>
            <w:tcW w:w="367" w:type="pct"/>
            <w:vMerge/>
            <w:tcBorders>
              <w:top w:val="nil"/>
              <w:left w:val="single" w:sz="4" w:space="0" w:color="auto"/>
              <w:bottom w:val="single" w:sz="4" w:space="0" w:color="000000"/>
              <w:right w:val="single" w:sz="4" w:space="0" w:color="auto"/>
            </w:tcBorders>
            <w:vAlign w:val="center"/>
            <w:hideMark/>
          </w:tcPr>
          <w:p w14:paraId="2D80CA02" w14:textId="77777777" w:rsidR="0077672F" w:rsidRPr="006B0D8A" w:rsidRDefault="0077672F" w:rsidP="0077672F">
            <w:pPr>
              <w:spacing w:after="60"/>
              <w:rPr>
                <w:rFonts w:eastAsia="Times New Roman" w:cs="Arial"/>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40D272B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64869A1C"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1AD30BA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2D72B33A"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24527C5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0B788E9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2B02014E"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06F8E2C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151FE2A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noWrap/>
            <w:hideMark/>
          </w:tcPr>
          <w:p w14:paraId="0346E0A9"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51256B8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60431FA6"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7993B12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1.1.1.1.3. </w:t>
            </w:r>
          </w:p>
        </w:tc>
        <w:tc>
          <w:tcPr>
            <w:tcW w:w="367" w:type="pct"/>
            <w:vMerge/>
            <w:tcBorders>
              <w:top w:val="nil"/>
              <w:left w:val="single" w:sz="4" w:space="0" w:color="auto"/>
              <w:bottom w:val="single" w:sz="4" w:space="0" w:color="000000"/>
              <w:right w:val="single" w:sz="4" w:space="0" w:color="auto"/>
            </w:tcBorders>
            <w:vAlign w:val="center"/>
            <w:hideMark/>
          </w:tcPr>
          <w:p w14:paraId="32015AD3" w14:textId="77777777" w:rsidR="0077672F" w:rsidRPr="006B0D8A" w:rsidRDefault="0077672F" w:rsidP="0077672F">
            <w:pPr>
              <w:spacing w:after="60"/>
              <w:rPr>
                <w:rFonts w:eastAsia="Times New Roman" w:cs="Arial"/>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7906292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7C6537C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52197DC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36FADC7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50E96CC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25FF893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57405BF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5B153A7E"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5871E83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noWrap/>
            <w:hideMark/>
          </w:tcPr>
          <w:p w14:paraId="24E643CC"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30C3BD5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77672F" w14:paraId="2893A436"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hideMark/>
          </w:tcPr>
          <w:p w14:paraId="75FDE6FE" w14:textId="09C25D1F"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1.1.2.</w:t>
            </w:r>
          </w:p>
        </w:tc>
      </w:tr>
      <w:tr w:rsidR="0077672F" w:rsidRPr="006B0D8A" w14:paraId="2F923E41"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430F662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1.1.1.2.1. </w:t>
            </w:r>
          </w:p>
        </w:tc>
        <w:tc>
          <w:tcPr>
            <w:tcW w:w="367" w:type="pct"/>
            <w:vMerge w:val="restart"/>
            <w:tcBorders>
              <w:top w:val="nil"/>
              <w:left w:val="single" w:sz="4" w:space="0" w:color="auto"/>
              <w:bottom w:val="single" w:sz="4" w:space="0" w:color="auto"/>
              <w:right w:val="single" w:sz="4" w:space="0" w:color="auto"/>
            </w:tcBorders>
            <w:shd w:val="clear" w:color="auto" w:fill="auto"/>
            <w:vAlign w:val="center"/>
            <w:hideMark/>
          </w:tcPr>
          <w:p w14:paraId="40CE213C"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2. </w:t>
            </w:r>
          </w:p>
        </w:tc>
        <w:tc>
          <w:tcPr>
            <w:tcW w:w="327" w:type="pct"/>
            <w:tcBorders>
              <w:top w:val="nil"/>
              <w:left w:val="nil"/>
              <w:bottom w:val="single" w:sz="4" w:space="0" w:color="auto"/>
              <w:right w:val="single" w:sz="4" w:space="0" w:color="auto"/>
            </w:tcBorders>
            <w:shd w:val="clear" w:color="auto" w:fill="auto"/>
            <w:hideMark/>
          </w:tcPr>
          <w:p w14:paraId="3EDDD071"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5E924A2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2D32ADF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0C492F6F"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6EAD601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0C4CE12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7C6633A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77D8D7D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54DC963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2D7A95D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52D424B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5E6914D0"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186B040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1.1.1.2.2 </w:t>
            </w:r>
          </w:p>
        </w:tc>
        <w:tc>
          <w:tcPr>
            <w:tcW w:w="367" w:type="pct"/>
            <w:vMerge/>
            <w:tcBorders>
              <w:top w:val="nil"/>
              <w:left w:val="single" w:sz="4" w:space="0" w:color="auto"/>
              <w:bottom w:val="single" w:sz="4" w:space="0" w:color="auto"/>
              <w:right w:val="single" w:sz="4" w:space="0" w:color="auto"/>
            </w:tcBorders>
            <w:vAlign w:val="center"/>
            <w:hideMark/>
          </w:tcPr>
          <w:p w14:paraId="5C8748A7"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4CFB1804"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57D53A2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2A23D45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3B94D01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5700B43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510E66F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3091DCEA"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66D4D12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0D689E5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018F029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6662266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28308195"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050667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1.1.1.2.3</w:t>
            </w:r>
          </w:p>
        </w:tc>
        <w:tc>
          <w:tcPr>
            <w:tcW w:w="367" w:type="pct"/>
            <w:vMerge/>
            <w:tcBorders>
              <w:top w:val="nil"/>
              <w:left w:val="single" w:sz="4" w:space="0" w:color="auto"/>
              <w:bottom w:val="single" w:sz="4" w:space="0" w:color="auto"/>
              <w:right w:val="single" w:sz="4" w:space="0" w:color="auto"/>
            </w:tcBorders>
            <w:vAlign w:val="center"/>
            <w:hideMark/>
          </w:tcPr>
          <w:p w14:paraId="277813EA"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44A0B753"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64A5BFA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45B6FF2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1866601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2A80462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161098DF"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15C54DCC"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4D465A1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1EFAC2B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50C3C8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117A9EF3"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2E0B4217"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67E7F88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1.1.1.2.4 </w:t>
            </w:r>
          </w:p>
        </w:tc>
        <w:tc>
          <w:tcPr>
            <w:tcW w:w="367" w:type="pct"/>
            <w:vMerge/>
            <w:tcBorders>
              <w:top w:val="nil"/>
              <w:left w:val="single" w:sz="4" w:space="0" w:color="auto"/>
              <w:bottom w:val="single" w:sz="4" w:space="0" w:color="auto"/>
              <w:right w:val="single" w:sz="4" w:space="0" w:color="auto"/>
            </w:tcBorders>
            <w:vAlign w:val="center"/>
            <w:hideMark/>
          </w:tcPr>
          <w:p w14:paraId="49367D94"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4A7C807D"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255A209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0DA0166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5187F19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674CF47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0E4B70A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7F2E182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266072D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5D21AB0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6FABAD2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281E50B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113AFF5E"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0F33C6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1.1.1.2.5</w:t>
            </w:r>
          </w:p>
        </w:tc>
        <w:tc>
          <w:tcPr>
            <w:tcW w:w="367" w:type="pct"/>
            <w:vMerge/>
            <w:tcBorders>
              <w:top w:val="nil"/>
              <w:left w:val="single" w:sz="4" w:space="0" w:color="auto"/>
              <w:bottom w:val="single" w:sz="4" w:space="0" w:color="auto"/>
              <w:right w:val="single" w:sz="4" w:space="0" w:color="auto"/>
            </w:tcBorders>
            <w:vAlign w:val="center"/>
            <w:hideMark/>
          </w:tcPr>
          <w:p w14:paraId="0E602EC8"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1AEF6475"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6CEDAB83"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74D9C253"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6100EAC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7B3CB60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6320188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615A327C"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5C4F9C68"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7530280E"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noWrap/>
            <w:vAlign w:val="bottom"/>
            <w:hideMark/>
          </w:tcPr>
          <w:p w14:paraId="537D9EF7" w14:textId="77777777" w:rsidR="0077672F" w:rsidRPr="006B0D8A" w:rsidRDefault="0077672F" w:rsidP="0077672F">
            <w:pPr>
              <w:spacing w:after="60"/>
              <w:rPr>
                <w:rFonts w:eastAsia="Times New Roman" w:cs="Arial"/>
                <w:color w:val="FF0000"/>
                <w:sz w:val="18"/>
                <w:szCs w:val="18"/>
                <w:lang w:eastAsia="fr-FR"/>
              </w:rPr>
            </w:pPr>
            <w:r w:rsidRPr="006B0D8A">
              <w:rPr>
                <w:rFonts w:eastAsia="Times New Roman" w:cs="Arial"/>
                <w:color w:val="FF0000"/>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1548499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77672F" w14:paraId="056C4BCB"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hideMark/>
          </w:tcPr>
          <w:p w14:paraId="41341090" w14:textId="07A3EE46"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 xml:space="preserve">Extrant :1.1.3. </w:t>
            </w:r>
          </w:p>
        </w:tc>
      </w:tr>
      <w:tr w:rsidR="0077672F" w:rsidRPr="006B0D8A" w14:paraId="5B3CFA6D"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6A4584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1.1.1.3.1 </w:t>
            </w:r>
          </w:p>
        </w:tc>
        <w:tc>
          <w:tcPr>
            <w:tcW w:w="367" w:type="pct"/>
            <w:vMerge w:val="restart"/>
            <w:tcBorders>
              <w:top w:val="nil"/>
              <w:left w:val="single" w:sz="4" w:space="0" w:color="auto"/>
              <w:bottom w:val="single" w:sz="4" w:space="0" w:color="auto"/>
              <w:right w:val="single" w:sz="4" w:space="0" w:color="auto"/>
            </w:tcBorders>
            <w:shd w:val="clear" w:color="auto" w:fill="auto"/>
            <w:vAlign w:val="center"/>
            <w:hideMark/>
          </w:tcPr>
          <w:p w14:paraId="09DC6C99"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3.</w:t>
            </w:r>
          </w:p>
        </w:tc>
        <w:tc>
          <w:tcPr>
            <w:tcW w:w="327" w:type="pct"/>
            <w:tcBorders>
              <w:top w:val="nil"/>
              <w:left w:val="nil"/>
              <w:bottom w:val="single" w:sz="4" w:space="0" w:color="auto"/>
              <w:right w:val="single" w:sz="4" w:space="0" w:color="auto"/>
            </w:tcBorders>
            <w:shd w:val="clear" w:color="auto" w:fill="auto"/>
            <w:vAlign w:val="bottom"/>
            <w:hideMark/>
          </w:tcPr>
          <w:p w14:paraId="683EEF4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516DDAB2"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7E6BB41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04E8662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62A43FAF"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522C020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7D569E2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7EFD652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5A1E6B1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BFF8781" w14:textId="77777777" w:rsidR="0077672F" w:rsidRPr="006B0D8A" w:rsidRDefault="0077672F" w:rsidP="0077672F">
            <w:pPr>
              <w:spacing w:after="60"/>
              <w:rPr>
                <w:rFonts w:eastAsia="Times New Roman" w:cs="Arial"/>
                <w:color w:val="0D0D0D"/>
                <w:sz w:val="18"/>
                <w:szCs w:val="18"/>
                <w:lang w:eastAsia="fr-FR"/>
              </w:rPr>
            </w:pPr>
            <w:r w:rsidRPr="006B0D8A">
              <w:rPr>
                <w:rFonts w:eastAsia="Times New Roman" w:cs="Arial"/>
                <w:color w:val="0D0D0D"/>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74FE4F81"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4D07089B"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4D601D7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1.1.1.3.2</w:t>
            </w:r>
          </w:p>
        </w:tc>
        <w:tc>
          <w:tcPr>
            <w:tcW w:w="367" w:type="pct"/>
            <w:vMerge/>
            <w:tcBorders>
              <w:top w:val="nil"/>
              <w:left w:val="single" w:sz="4" w:space="0" w:color="auto"/>
              <w:bottom w:val="single" w:sz="4" w:space="0" w:color="auto"/>
              <w:right w:val="single" w:sz="4" w:space="0" w:color="auto"/>
            </w:tcBorders>
            <w:vAlign w:val="center"/>
            <w:hideMark/>
          </w:tcPr>
          <w:p w14:paraId="7B5706FD"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54B410EB"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1AF9EEB3"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01470F0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1E17B298"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0E2B3628"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2AC95FB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0A69634F"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0813808B"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6F36FE1E"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2BBFAE2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73883FD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6B0D8A" w14:paraId="4D831557"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1E1FDF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1.1.1.3.3 </w:t>
            </w:r>
          </w:p>
        </w:tc>
        <w:tc>
          <w:tcPr>
            <w:tcW w:w="367" w:type="pct"/>
            <w:vMerge/>
            <w:tcBorders>
              <w:top w:val="nil"/>
              <w:left w:val="single" w:sz="4" w:space="0" w:color="auto"/>
              <w:bottom w:val="single" w:sz="4" w:space="0" w:color="auto"/>
              <w:right w:val="single" w:sz="4" w:space="0" w:color="auto"/>
            </w:tcBorders>
            <w:vAlign w:val="center"/>
            <w:hideMark/>
          </w:tcPr>
          <w:p w14:paraId="75D80C5F"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7C5F8215"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14:paraId="770E5D48"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7D1D8485"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7071DBC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148" w:type="pct"/>
            <w:tcBorders>
              <w:top w:val="nil"/>
              <w:left w:val="nil"/>
              <w:bottom w:val="single" w:sz="4" w:space="0" w:color="auto"/>
              <w:right w:val="single" w:sz="4" w:space="0" w:color="auto"/>
            </w:tcBorders>
            <w:shd w:val="clear" w:color="auto" w:fill="auto"/>
            <w:noWrap/>
            <w:vAlign w:val="bottom"/>
            <w:hideMark/>
          </w:tcPr>
          <w:p w14:paraId="5B0925B4"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08F83E17"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48" w:type="pct"/>
            <w:tcBorders>
              <w:top w:val="nil"/>
              <w:left w:val="nil"/>
              <w:bottom w:val="single" w:sz="4" w:space="0" w:color="auto"/>
              <w:right w:val="single" w:sz="4" w:space="0" w:color="auto"/>
            </w:tcBorders>
            <w:shd w:val="clear" w:color="auto" w:fill="auto"/>
            <w:noWrap/>
            <w:vAlign w:val="bottom"/>
            <w:hideMark/>
          </w:tcPr>
          <w:p w14:paraId="3672A7B6"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307" w:type="pct"/>
            <w:tcBorders>
              <w:top w:val="nil"/>
              <w:left w:val="nil"/>
              <w:bottom w:val="single" w:sz="4" w:space="0" w:color="auto"/>
              <w:right w:val="single" w:sz="4" w:space="0" w:color="auto"/>
            </w:tcBorders>
            <w:shd w:val="clear" w:color="auto" w:fill="auto"/>
            <w:noWrap/>
            <w:vAlign w:val="bottom"/>
            <w:hideMark/>
          </w:tcPr>
          <w:p w14:paraId="6798C329"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14:paraId="6A83F820"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63D2C39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noWrap/>
            <w:vAlign w:val="bottom"/>
            <w:hideMark/>
          </w:tcPr>
          <w:p w14:paraId="27A7054D" w14:textId="77777777" w:rsidR="0077672F" w:rsidRPr="006B0D8A" w:rsidRDefault="0077672F" w:rsidP="0077672F">
            <w:pPr>
              <w:spacing w:after="60"/>
              <w:rPr>
                <w:rFonts w:eastAsia="Times New Roman" w:cs="Arial"/>
                <w:b/>
                <w:bCs/>
                <w:color w:val="FF0000"/>
                <w:sz w:val="18"/>
                <w:szCs w:val="18"/>
                <w:lang w:eastAsia="fr-FR"/>
              </w:rPr>
            </w:pPr>
            <w:r w:rsidRPr="006B0D8A">
              <w:rPr>
                <w:rFonts w:eastAsia="Times New Roman" w:cs="Arial"/>
                <w:b/>
                <w:bCs/>
                <w:color w:val="FF0000"/>
                <w:sz w:val="18"/>
                <w:szCs w:val="18"/>
                <w:lang w:eastAsia="fr-FR"/>
              </w:rPr>
              <w:t> </w:t>
            </w:r>
          </w:p>
        </w:tc>
      </w:tr>
      <w:tr w:rsidR="0077672F" w:rsidRPr="0077672F" w14:paraId="5016FB04"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C6E0B4"/>
            <w:hideMark/>
          </w:tcPr>
          <w:p w14:paraId="1A8DE1AA" w14:textId="52AD2B86" w:rsidR="0077672F" w:rsidRPr="0077672F" w:rsidRDefault="0077672F" w:rsidP="0077672F">
            <w:pPr>
              <w:spacing w:after="60"/>
              <w:jc w:val="center"/>
              <w:rPr>
                <w:rFonts w:eastAsia="Times New Roman" w:cs="Arial"/>
                <w:sz w:val="22"/>
                <w:lang w:eastAsia="fr-FR"/>
              </w:rPr>
            </w:pPr>
            <w:r w:rsidRPr="0077672F">
              <w:rPr>
                <w:rFonts w:eastAsia="Times New Roman" w:cs="Arial"/>
                <w:b/>
                <w:bCs/>
                <w:sz w:val="22"/>
                <w:lang w:eastAsia="fr-FR"/>
              </w:rPr>
              <w:t>Résultat Immédiat 1.2.   OS 2</w:t>
            </w:r>
          </w:p>
        </w:tc>
      </w:tr>
      <w:tr w:rsidR="0077672F" w:rsidRPr="0077672F" w14:paraId="492EEEDE"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hideMark/>
          </w:tcPr>
          <w:p w14:paraId="7E381949" w14:textId="1DC8D5EF"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1.2.1.</w:t>
            </w:r>
          </w:p>
        </w:tc>
      </w:tr>
      <w:tr w:rsidR="0077672F" w:rsidRPr="006B0D8A" w14:paraId="56E9FBB6"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88EA37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1.2.1.1.1 </w:t>
            </w:r>
          </w:p>
        </w:tc>
        <w:tc>
          <w:tcPr>
            <w:tcW w:w="367" w:type="pct"/>
            <w:vMerge w:val="restart"/>
            <w:tcBorders>
              <w:top w:val="nil"/>
              <w:left w:val="single" w:sz="4" w:space="0" w:color="auto"/>
              <w:bottom w:val="nil"/>
              <w:right w:val="single" w:sz="4" w:space="0" w:color="auto"/>
            </w:tcBorders>
            <w:shd w:val="clear" w:color="auto" w:fill="auto"/>
            <w:vAlign w:val="center"/>
            <w:hideMark/>
          </w:tcPr>
          <w:p w14:paraId="03223739"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1.</w:t>
            </w:r>
          </w:p>
        </w:tc>
        <w:tc>
          <w:tcPr>
            <w:tcW w:w="327" w:type="pct"/>
            <w:tcBorders>
              <w:top w:val="nil"/>
              <w:left w:val="nil"/>
              <w:bottom w:val="single" w:sz="4" w:space="0" w:color="auto"/>
              <w:right w:val="single" w:sz="4" w:space="0" w:color="auto"/>
            </w:tcBorders>
            <w:shd w:val="clear" w:color="auto" w:fill="auto"/>
            <w:hideMark/>
          </w:tcPr>
          <w:p w14:paraId="52AD262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579D729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4E422C8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BB3F65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1FD33C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09B8358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7AEA6CE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0E60091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1548D1D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25A6872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009B0A6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6BED3C58"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696A521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1.2.1.1.2 </w:t>
            </w:r>
          </w:p>
        </w:tc>
        <w:tc>
          <w:tcPr>
            <w:tcW w:w="367" w:type="pct"/>
            <w:vMerge/>
            <w:tcBorders>
              <w:top w:val="nil"/>
              <w:left w:val="single" w:sz="4" w:space="0" w:color="auto"/>
              <w:bottom w:val="nil"/>
              <w:right w:val="single" w:sz="4" w:space="0" w:color="auto"/>
            </w:tcBorders>
            <w:vAlign w:val="center"/>
            <w:hideMark/>
          </w:tcPr>
          <w:p w14:paraId="2EDCA4B6"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61A797D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7579A02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6029C3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D30AB8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F30111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420C4CB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CE6D1A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6E05EC1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743E913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F55854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2EE6EBB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7B09C1A5"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hideMark/>
          </w:tcPr>
          <w:p w14:paraId="37EC3067" w14:textId="52A09EC8"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1.2.2.</w:t>
            </w:r>
          </w:p>
        </w:tc>
      </w:tr>
      <w:tr w:rsidR="0077672F" w:rsidRPr="006B0D8A" w14:paraId="79326105"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4056DC2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1.2.2.2.1</w:t>
            </w:r>
          </w:p>
        </w:tc>
        <w:tc>
          <w:tcPr>
            <w:tcW w:w="367" w:type="pct"/>
            <w:vMerge w:val="restart"/>
            <w:tcBorders>
              <w:top w:val="nil"/>
              <w:left w:val="single" w:sz="4" w:space="0" w:color="auto"/>
              <w:bottom w:val="nil"/>
              <w:right w:val="single" w:sz="4" w:space="0" w:color="auto"/>
            </w:tcBorders>
            <w:shd w:val="clear" w:color="auto" w:fill="auto"/>
            <w:vAlign w:val="center"/>
            <w:hideMark/>
          </w:tcPr>
          <w:p w14:paraId="5F490F99"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2. </w:t>
            </w:r>
          </w:p>
        </w:tc>
        <w:tc>
          <w:tcPr>
            <w:tcW w:w="327" w:type="pct"/>
            <w:tcBorders>
              <w:top w:val="nil"/>
              <w:left w:val="nil"/>
              <w:bottom w:val="single" w:sz="4" w:space="0" w:color="auto"/>
              <w:right w:val="single" w:sz="4" w:space="0" w:color="auto"/>
            </w:tcBorders>
            <w:shd w:val="clear" w:color="auto" w:fill="auto"/>
            <w:hideMark/>
          </w:tcPr>
          <w:p w14:paraId="10E84058"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38F928B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499AD50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3EB7FB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C8FEB0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0838009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77BC8F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12DAA93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69998C5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42AB14F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38503C9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5047C4C0"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1CC1050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1.2.2.2.2.</w:t>
            </w:r>
          </w:p>
        </w:tc>
        <w:tc>
          <w:tcPr>
            <w:tcW w:w="367" w:type="pct"/>
            <w:vMerge/>
            <w:tcBorders>
              <w:top w:val="nil"/>
              <w:left w:val="single" w:sz="4" w:space="0" w:color="auto"/>
              <w:bottom w:val="nil"/>
              <w:right w:val="single" w:sz="4" w:space="0" w:color="auto"/>
            </w:tcBorders>
            <w:vAlign w:val="center"/>
            <w:hideMark/>
          </w:tcPr>
          <w:p w14:paraId="33EB0CCD"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5B56E8D7"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302F6E2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6A287A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443B845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A51A41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91040E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2F9682C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3C241A9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501C9D7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74D2E30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595C983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062E781F"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09546835" w14:textId="2822EE33"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1.2.3.</w:t>
            </w:r>
          </w:p>
        </w:tc>
      </w:tr>
      <w:tr w:rsidR="0077672F" w:rsidRPr="006B0D8A" w14:paraId="253989C3"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3FC2FFF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lastRenderedPageBreak/>
              <w:t xml:space="preserve">Activité </w:t>
            </w:r>
            <w:r w:rsidRPr="006B0D8A">
              <w:rPr>
                <w:rFonts w:eastAsia="Times New Roman" w:cs="Arial"/>
                <w:color w:val="000000"/>
                <w:sz w:val="18"/>
                <w:szCs w:val="18"/>
                <w:lang w:eastAsia="fr-FR"/>
              </w:rPr>
              <w:t xml:space="preserve">1.2.3.3.1 </w:t>
            </w:r>
          </w:p>
        </w:tc>
        <w:tc>
          <w:tcPr>
            <w:tcW w:w="367" w:type="pct"/>
            <w:vMerge w:val="restart"/>
            <w:tcBorders>
              <w:top w:val="nil"/>
              <w:left w:val="single" w:sz="4" w:space="0" w:color="auto"/>
              <w:bottom w:val="single" w:sz="4" w:space="0" w:color="000000"/>
              <w:right w:val="single" w:sz="4" w:space="0" w:color="auto"/>
            </w:tcBorders>
            <w:shd w:val="clear" w:color="auto" w:fill="auto"/>
            <w:vAlign w:val="center"/>
            <w:hideMark/>
          </w:tcPr>
          <w:p w14:paraId="36E1DA14"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3.</w:t>
            </w:r>
          </w:p>
        </w:tc>
        <w:tc>
          <w:tcPr>
            <w:tcW w:w="327" w:type="pct"/>
            <w:tcBorders>
              <w:top w:val="nil"/>
              <w:left w:val="nil"/>
              <w:bottom w:val="single" w:sz="4" w:space="0" w:color="auto"/>
              <w:right w:val="single" w:sz="4" w:space="0" w:color="auto"/>
            </w:tcBorders>
            <w:shd w:val="clear" w:color="auto" w:fill="auto"/>
            <w:hideMark/>
          </w:tcPr>
          <w:p w14:paraId="1178121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465A307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D01ABE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42CADF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11B7A1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6265F4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922DC3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79683D7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2F0B039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496111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1C19CF7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7AE05C03"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B66BCC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1.2.3.3.2 </w:t>
            </w:r>
          </w:p>
        </w:tc>
        <w:tc>
          <w:tcPr>
            <w:tcW w:w="367" w:type="pct"/>
            <w:vMerge/>
            <w:tcBorders>
              <w:top w:val="nil"/>
              <w:left w:val="single" w:sz="4" w:space="0" w:color="auto"/>
              <w:bottom w:val="single" w:sz="4" w:space="0" w:color="000000"/>
              <w:right w:val="single" w:sz="4" w:space="0" w:color="auto"/>
            </w:tcBorders>
            <w:vAlign w:val="center"/>
            <w:hideMark/>
          </w:tcPr>
          <w:p w14:paraId="1F650E50"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02E2DBB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5414E93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4143604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0D1ACA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6DA791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56640DB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576F25A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5E057C3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137C564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2406B00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2F9B7B9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7F5FB877"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C36E65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1.2.3.3.3 </w:t>
            </w:r>
          </w:p>
        </w:tc>
        <w:tc>
          <w:tcPr>
            <w:tcW w:w="367" w:type="pct"/>
            <w:vMerge/>
            <w:tcBorders>
              <w:top w:val="nil"/>
              <w:left w:val="single" w:sz="4" w:space="0" w:color="auto"/>
              <w:bottom w:val="single" w:sz="4" w:space="0" w:color="000000"/>
              <w:right w:val="single" w:sz="4" w:space="0" w:color="auto"/>
            </w:tcBorders>
            <w:vAlign w:val="center"/>
            <w:hideMark/>
          </w:tcPr>
          <w:p w14:paraId="312F45D6"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7D96FF5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24CF0D0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6332CE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644E09E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0DE01E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7FFB32A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2D45FE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086F21C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2A6F2CA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0611C5D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72DF662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157A1457"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C6E0B4"/>
            <w:hideMark/>
          </w:tcPr>
          <w:p w14:paraId="4FFF700A" w14:textId="283321C0" w:rsidR="0077672F" w:rsidRPr="0077672F" w:rsidRDefault="0077672F" w:rsidP="0077672F">
            <w:pPr>
              <w:spacing w:after="60"/>
              <w:jc w:val="center"/>
              <w:rPr>
                <w:rFonts w:eastAsia="Times New Roman" w:cs="Arial"/>
                <w:sz w:val="22"/>
                <w:lang w:eastAsia="fr-FR"/>
              </w:rPr>
            </w:pPr>
            <w:r w:rsidRPr="0077672F">
              <w:rPr>
                <w:rFonts w:eastAsia="Times New Roman" w:cs="Arial"/>
                <w:b/>
                <w:bCs/>
                <w:sz w:val="22"/>
                <w:lang w:eastAsia="fr-FR"/>
              </w:rPr>
              <w:t>Résultat Immédiat 1.3.   OS 3</w:t>
            </w:r>
          </w:p>
        </w:tc>
      </w:tr>
      <w:tr w:rsidR="0077672F" w:rsidRPr="0077672F" w14:paraId="6B1C3539"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2F946610" w14:textId="59337881"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1.3.1.</w:t>
            </w:r>
          </w:p>
        </w:tc>
      </w:tr>
      <w:tr w:rsidR="0077672F" w:rsidRPr="006B0D8A" w14:paraId="53A993D1"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3432BB8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1.3.1.1.1</w:t>
            </w:r>
          </w:p>
        </w:tc>
        <w:tc>
          <w:tcPr>
            <w:tcW w:w="367" w:type="pct"/>
            <w:tcBorders>
              <w:top w:val="nil"/>
              <w:left w:val="nil"/>
              <w:bottom w:val="nil"/>
              <w:right w:val="single" w:sz="4" w:space="0" w:color="auto"/>
            </w:tcBorders>
            <w:shd w:val="clear" w:color="auto" w:fill="auto"/>
            <w:vAlign w:val="center"/>
            <w:hideMark/>
          </w:tcPr>
          <w:p w14:paraId="194FF7A4"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1.</w:t>
            </w:r>
          </w:p>
        </w:tc>
        <w:tc>
          <w:tcPr>
            <w:tcW w:w="327" w:type="pct"/>
            <w:tcBorders>
              <w:top w:val="nil"/>
              <w:left w:val="nil"/>
              <w:bottom w:val="single" w:sz="4" w:space="0" w:color="auto"/>
              <w:right w:val="single" w:sz="4" w:space="0" w:color="auto"/>
            </w:tcBorders>
            <w:shd w:val="clear" w:color="auto" w:fill="auto"/>
            <w:hideMark/>
          </w:tcPr>
          <w:p w14:paraId="2BDC15C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353BA2B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4BDF491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0049B3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BC2E02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5E1EE05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192043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39B9515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1571F41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4FACB68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2FE3DD3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564D230B"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4FBB0F77" w14:textId="6E670A40"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1.3.1.</w:t>
            </w:r>
          </w:p>
        </w:tc>
      </w:tr>
      <w:tr w:rsidR="0077672F" w:rsidRPr="006B0D8A" w14:paraId="34FF435C"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68463C8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1.3.1.1.1 </w:t>
            </w:r>
          </w:p>
        </w:tc>
        <w:tc>
          <w:tcPr>
            <w:tcW w:w="367" w:type="pct"/>
            <w:tcBorders>
              <w:top w:val="nil"/>
              <w:left w:val="nil"/>
              <w:bottom w:val="nil"/>
              <w:right w:val="single" w:sz="4" w:space="0" w:color="auto"/>
            </w:tcBorders>
            <w:shd w:val="clear" w:color="auto" w:fill="auto"/>
            <w:vAlign w:val="center"/>
            <w:hideMark/>
          </w:tcPr>
          <w:p w14:paraId="698CF795"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1. </w:t>
            </w:r>
          </w:p>
        </w:tc>
        <w:tc>
          <w:tcPr>
            <w:tcW w:w="327" w:type="pct"/>
            <w:tcBorders>
              <w:top w:val="nil"/>
              <w:left w:val="nil"/>
              <w:bottom w:val="single" w:sz="4" w:space="0" w:color="auto"/>
              <w:right w:val="single" w:sz="4" w:space="0" w:color="auto"/>
            </w:tcBorders>
            <w:shd w:val="clear" w:color="auto" w:fill="auto"/>
            <w:hideMark/>
          </w:tcPr>
          <w:p w14:paraId="6003089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6F6D4D3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4F371D7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071BE1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76962EC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7A8C770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79BE59E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168C969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2A7AE3D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4782C08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7E20378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24B27598"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049D6182" w14:textId="406D6C7B"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1.3.2.</w:t>
            </w:r>
            <w:r w:rsidRPr="0077672F">
              <w:rPr>
                <w:rFonts w:eastAsia="Times New Roman" w:cs="Arial"/>
                <w:sz w:val="20"/>
                <w:szCs w:val="20"/>
                <w:lang w:eastAsia="fr-FR"/>
              </w:rPr>
              <w:t>  </w:t>
            </w:r>
          </w:p>
        </w:tc>
      </w:tr>
      <w:tr w:rsidR="0077672F" w:rsidRPr="006B0D8A" w14:paraId="6A410070"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6D5618F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1.3.1.2.1 </w:t>
            </w:r>
          </w:p>
        </w:tc>
        <w:tc>
          <w:tcPr>
            <w:tcW w:w="367" w:type="pct"/>
            <w:vMerge w:val="restart"/>
            <w:tcBorders>
              <w:top w:val="nil"/>
              <w:left w:val="single" w:sz="4" w:space="0" w:color="auto"/>
              <w:bottom w:val="nil"/>
              <w:right w:val="single" w:sz="4" w:space="0" w:color="auto"/>
            </w:tcBorders>
            <w:shd w:val="clear" w:color="auto" w:fill="auto"/>
            <w:vAlign w:val="center"/>
            <w:hideMark/>
          </w:tcPr>
          <w:p w14:paraId="1B099AC6"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2.</w:t>
            </w:r>
          </w:p>
        </w:tc>
        <w:tc>
          <w:tcPr>
            <w:tcW w:w="327" w:type="pct"/>
            <w:tcBorders>
              <w:top w:val="nil"/>
              <w:left w:val="nil"/>
              <w:bottom w:val="single" w:sz="4" w:space="0" w:color="auto"/>
              <w:right w:val="single" w:sz="4" w:space="0" w:color="auto"/>
            </w:tcBorders>
            <w:shd w:val="clear" w:color="auto" w:fill="auto"/>
            <w:hideMark/>
          </w:tcPr>
          <w:p w14:paraId="5A8350F4"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7AC5953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8FAC43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745317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488704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11478AB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00A24AA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6D17BCC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42B196F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31F8D54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321BA97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6A501248"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5ABAAA1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1.3.1.2.2.</w:t>
            </w:r>
          </w:p>
        </w:tc>
        <w:tc>
          <w:tcPr>
            <w:tcW w:w="367" w:type="pct"/>
            <w:vMerge/>
            <w:tcBorders>
              <w:top w:val="nil"/>
              <w:left w:val="single" w:sz="4" w:space="0" w:color="auto"/>
              <w:bottom w:val="nil"/>
              <w:right w:val="single" w:sz="4" w:space="0" w:color="auto"/>
            </w:tcBorders>
            <w:vAlign w:val="center"/>
            <w:hideMark/>
          </w:tcPr>
          <w:p w14:paraId="461C39A7"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43DC9AD4"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012C84B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3EC482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A99F58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F6D728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4CFA0D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0C599B3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64A366C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6BAB31D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21A4ED5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4F32C8D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4D2AEFE1"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1CDA521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1.3.1.2.3. </w:t>
            </w:r>
          </w:p>
        </w:tc>
        <w:tc>
          <w:tcPr>
            <w:tcW w:w="367" w:type="pct"/>
            <w:vMerge/>
            <w:tcBorders>
              <w:top w:val="nil"/>
              <w:left w:val="single" w:sz="4" w:space="0" w:color="auto"/>
              <w:bottom w:val="nil"/>
              <w:right w:val="single" w:sz="4" w:space="0" w:color="auto"/>
            </w:tcBorders>
            <w:vAlign w:val="center"/>
            <w:hideMark/>
          </w:tcPr>
          <w:p w14:paraId="7E8CE2F8"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7DEC4C63" w14:textId="77777777" w:rsidR="0077672F" w:rsidRPr="006B0D8A" w:rsidRDefault="0077672F" w:rsidP="0077672F">
            <w:pPr>
              <w:spacing w:after="60"/>
              <w:rPr>
                <w:rFonts w:eastAsia="Times New Roman" w:cs="Arial"/>
                <w:sz w:val="18"/>
                <w:szCs w:val="18"/>
                <w:lang w:eastAsia="fr-FR"/>
              </w:rPr>
            </w:pPr>
            <w:r w:rsidRPr="006B0D8A">
              <w:rPr>
                <w:rFonts w:eastAsia="Times New Roman" w:cs="Arial"/>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6D3B5B6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92DD4B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E4510D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AA31A9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2E3ECAB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39F3EED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5E1E09C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41697A5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0688640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39715DD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627E18AE"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0408D91E" w14:textId="672C318F"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1.3.3.</w:t>
            </w:r>
          </w:p>
        </w:tc>
      </w:tr>
      <w:tr w:rsidR="0077672F" w:rsidRPr="006B0D8A" w14:paraId="736873ED"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1A85C1A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1.2.3.3.1 </w:t>
            </w:r>
          </w:p>
        </w:tc>
        <w:tc>
          <w:tcPr>
            <w:tcW w:w="367" w:type="pct"/>
            <w:vMerge w:val="restart"/>
            <w:tcBorders>
              <w:top w:val="nil"/>
              <w:left w:val="single" w:sz="4" w:space="0" w:color="auto"/>
              <w:bottom w:val="single" w:sz="4" w:space="0" w:color="000000"/>
              <w:right w:val="single" w:sz="4" w:space="0" w:color="auto"/>
            </w:tcBorders>
            <w:shd w:val="clear" w:color="auto" w:fill="auto"/>
            <w:vAlign w:val="center"/>
            <w:hideMark/>
          </w:tcPr>
          <w:p w14:paraId="1863C3FF"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3.</w:t>
            </w:r>
          </w:p>
        </w:tc>
        <w:tc>
          <w:tcPr>
            <w:tcW w:w="327" w:type="pct"/>
            <w:tcBorders>
              <w:top w:val="nil"/>
              <w:left w:val="nil"/>
              <w:bottom w:val="single" w:sz="4" w:space="0" w:color="auto"/>
              <w:right w:val="single" w:sz="4" w:space="0" w:color="auto"/>
            </w:tcBorders>
            <w:shd w:val="clear" w:color="auto" w:fill="auto"/>
            <w:hideMark/>
          </w:tcPr>
          <w:p w14:paraId="4662BF5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55524A4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0F9A84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4B9244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DB2718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1B9C31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2E7E705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43A9C1A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6276248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6963AC6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2FDAAE9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6CB6A58F"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934373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1.2.3.3.2 </w:t>
            </w:r>
          </w:p>
        </w:tc>
        <w:tc>
          <w:tcPr>
            <w:tcW w:w="367" w:type="pct"/>
            <w:vMerge/>
            <w:tcBorders>
              <w:top w:val="nil"/>
              <w:left w:val="single" w:sz="4" w:space="0" w:color="auto"/>
              <w:bottom w:val="single" w:sz="4" w:space="0" w:color="000000"/>
              <w:right w:val="single" w:sz="4" w:space="0" w:color="auto"/>
            </w:tcBorders>
            <w:vAlign w:val="center"/>
            <w:hideMark/>
          </w:tcPr>
          <w:p w14:paraId="33373D61"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693A8A8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05E04FA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95C9CE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40FB03B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78CB0C4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20A2D67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220B330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22B1878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0FA94D2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6D0124A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5FE8454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686CE5F4"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35FA46F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1.2.3.3.3</w:t>
            </w:r>
          </w:p>
        </w:tc>
        <w:tc>
          <w:tcPr>
            <w:tcW w:w="367" w:type="pct"/>
            <w:vMerge/>
            <w:tcBorders>
              <w:top w:val="nil"/>
              <w:left w:val="single" w:sz="4" w:space="0" w:color="auto"/>
              <w:bottom w:val="single" w:sz="4" w:space="0" w:color="000000"/>
              <w:right w:val="single" w:sz="4" w:space="0" w:color="auto"/>
            </w:tcBorders>
            <w:vAlign w:val="center"/>
            <w:hideMark/>
          </w:tcPr>
          <w:p w14:paraId="5D80B69C"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2DEA72D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16435DD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174F25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6E82455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6AA912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288FD69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312852F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7304C8F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199DAA4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0995E3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26C1808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4E7B1D3A"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1E3E1367" w14:textId="1784C759"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1.3.4.</w:t>
            </w:r>
          </w:p>
        </w:tc>
      </w:tr>
      <w:tr w:rsidR="0077672F" w:rsidRPr="006B0D8A" w14:paraId="7155537A"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641D067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1.3.4.4.1  </w:t>
            </w:r>
          </w:p>
        </w:tc>
        <w:tc>
          <w:tcPr>
            <w:tcW w:w="367" w:type="pct"/>
            <w:tcBorders>
              <w:top w:val="nil"/>
              <w:left w:val="nil"/>
              <w:bottom w:val="nil"/>
              <w:right w:val="single" w:sz="4" w:space="0" w:color="auto"/>
            </w:tcBorders>
            <w:shd w:val="clear" w:color="auto" w:fill="auto"/>
            <w:vAlign w:val="center"/>
            <w:hideMark/>
          </w:tcPr>
          <w:p w14:paraId="488F1A77"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4. </w:t>
            </w:r>
          </w:p>
        </w:tc>
        <w:tc>
          <w:tcPr>
            <w:tcW w:w="327" w:type="pct"/>
            <w:tcBorders>
              <w:top w:val="nil"/>
              <w:left w:val="nil"/>
              <w:bottom w:val="single" w:sz="4" w:space="0" w:color="auto"/>
              <w:right w:val="single" w:sz="4" w:space="0" w:color="auto"/>
            </w:tcBorders>
            <w:shd w:val="clear" w:color="auto" w:fill="auto"/>
            <w:hideMark/>
          </w:tcPr>
          <w:p w14:paraId="34F7296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08FB92D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63DB7D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78C3B77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761EE5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5301CD6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0732F3E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48C3402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058004B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B4181F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3B240EB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27F7507B" w14:textId="77777777" w:rsidTr="0077672F">
        <w:trPr>
          <w:trHeight w:val="424"/>
        </w:trPr>
        <w:tc>
          <w:tcPr>
            <w:tcW w:w="5000" w:type="pct"/>
            <w:gridSpan w:val="13"/>
            <w:tcBorders>
              <w:top w:val="single" w:sz="4" w:space="0" w:color="auto"/>
              <w:left w:val="single" w:sz="4" w:space="0" w:color="auto"/>
              <w:bottom w:val="single" w:sz="4" w:space="0" w:color="auto"/>
              <w:right w:val="single" w:sz="4" w:space="0" w:color="auto"/>
            </w:tcBorders>
            <w:shd w:val="clear" w:color="000000" w:fill="FFFF00"/>
            <w:hideMark/>
          </w:tcPr>
          <w:p w14:paraId="04B17C39" w14:textId="7A59B908" w:rsidR="0077672F" w:rsidRPr="0077672F" w:rsidRDefault="0077672F" w:rsidP="0077672F">
            <w:pPr>
              <w:spacing w:after="60"/>
              <w:jc w:val="center"/>
              <w:rPr>
                <w:rFonts w:eastAsia="Times New Roman" w:cs="Arial"/>
                <w:b/>
                <w:bCs/>
                <w:color w:val="000000"/>
                <w:szCs w:val="24"/>
                <w:lang w:eastAsia="fr-FR"/>
              </w:rPr>
            </w:pPr>
            <w:r w:rsidRPr="0077672F">
              <w:rPr>
                <w:rFonts w:eastAsia="Times New Roman" w:cs="Arial"/>
                <w:b/>
                <w:bCs/>
                <w:color w:val="000000"/>
                <w:szCs w:val="24"/>
                <w:lang w:eastAsia="fr-FR"/>
              </w:rPr>
              <w:t>Résultat intermédiaire 2. Compétitivité et développement inclusif</w:t>
            </w:r>
          </w:p>
        </w:tc>
      </w:tr>
      <w:tr w:rsidR="0077672F" w:rsidRPr="0077672F" w14:paraId="35A4878C"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C6E0B4"/>
            <w:hideMark/>
          </w:tcPr>
          <w:p w14:paraId="7B959C92" w14:textId="36ADAA21" w:rsidR="0077672F" w:rsidRPr="0077672F" w:rsidRDefault="0077672F" w:rsidP="0077672F">
            <w:pPr>
              <w:spacing w:after="60"/>
              <w:jc w:val="center"/>
              <w:rPr>
                <w:rFonts w:eastAsia="Times New Roman" w:cs="Arial"/>
                <w:szCs w:val="24"/>
                <w:lang w:eastAsia="fr-FR"/>
              </w:rPr>
            </w:pPr>
            <w:r w:rsidRPr="0077672F">
              <w:rPr>
                <w:rFonts w:eastAsia="Times New Roman" w:cs="Arial"/>
                <w:b/>
                <w:bCs/>
                <w:szCs w:val="24"/>
                <w:lang w:eastAsia="fr-FR"/>
              </w:rPr>
              <w:t>Résultat Immédiat 2.1.  OS1</w:t>
            </w:r>
          </w:p>
        </w:tc>
      </w:tr>
      <w:tr w:rsidR="0077672F" w:rsidRPr="0077672F" w14:paraId="473431B6"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5973B6AF" w14:textId="57990D88" w:rsidR="0077672F" w:rsidRPr="0077672F" w:rsidRDefault="0077672F" w:rsidP="0077672F">
            <w:pPr>
              <w:spacing w:after="60"/>
              <w:jc w:val="center"/>
              <w:rPr>
                <w:rFonts w:eastAsia="Times New Roman" w:cs="Arial"/>
                <w:sz w:val="22"/>
                <w:lang w:eastAsia="fr-FR"/>
              </w:rPr>
            </w:pPr>
            <w:r w:rsidRPr="0077672F">
              <w:rPr>
                <w:rFonts w:eastAsia="Times New Roman" w:cs="Arial"/>
                <w:b/>
                <w:bCs/>
                <w:sz w:val="22"/>
                <w:lang w:eastAsia="fr-FR"/>
              </w:rPr>
              <w:t>Extrant 2.1.1.</w:t>
            </w:r>
          </w:p>
        </w:tc>
      </w:tr>
      <w:tr w:rsidR="0077672F" w:rsidRPr="006B0D8A" w14:paraId="53481381"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386400A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2.1.1.1.1.</w:t>
            </w:r>
          </w:p>
        </w:tc>
        <w:tc>
          <w:tcPr>
            <w:tcW w:w="367" w:type="pct"/>
            <w:vMerge w:val="restart"/>
            <w:tcBorders>
              <w:top w:val="nil"/>
              <w:left w:val="single" w:sz="4" w:space="0" w:color="auto"/>
              <w:bottom w:val="single" w:sz="4" w:space="0" w:color="000000"/>
              <w:right w:val="single" w:sz="4" w:space="0" w:color="auto"/>
            </w:tcBorders>
            <w:shd w:val="clear" w:color="auto" w:fill="auto"/>
            <w:vAlign w:val="center"/>
            <w:hideMark/>
          </w:tcPr>
          <w:p w14:paraId="6F7A42A9"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1.</w:t>
            </w:r>
          </w:p>
        </w:tc>
        <w:tc>
          <w:tcPr>
            <w:tcW w:w="327" w:type="pct"/>
            <w:tcBorders>
              <w:top w:val="nil"/>
              <w:left w:val="single" w:sz="4" w:space="0" w:color="auto"/>
              <w:bottom w:val="single" w:sz="4" w:space="0" w:color="auto"/>
              <w:right w:val="single" w:sz="4" w:space="0" w:color="auto"/>
            </w:tcBorders>
            <w:shd w:val="clear" w:color="auto" w:fill="auto"/>
            <w:hideMark/>
          </w:tcPr>
          <w:p w14:paraId="405C437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2E95A9B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E9C97C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876FC3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7B6A4C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vAlign w:val="bottom"/>
            <w:hideMark/>
          </w:tcPr>
          <w:p w14:paraId="24DCDF4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hideMark/>
          </w:tcPr>
          <w:p w14:paraId="486E975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noWrap/>
            <w:hideMark/>
          </w:tcPr>
          <w:p w14:paraId="55B0915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71C47AF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9AD3C3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25EB69D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5985FAE0"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F2110C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2.1.1.1.2. </w:t>
            </w:r>
          </w:p>
        </w:tc>
        <w:tc>
          <w:tcPr>
            <w:tcW w:w="367" w:type="pct"/>
            <w:vMerge/>
            <w:tcBorders>
              <w:top w:val="nil"/>
              <w:left w:val="single" w:sz="4" w:space="0" w:color="auto"/>
              <w:bottom w:val="single" w:sz="4" w:space="0" w:color="000000"/>
              <w:right w:val="single" w:sz="4" w:space="0" w:color="auto"/>
            </w:tcBorders>
            <w:vAlign w:val="center"/>
            <w:hideMark/>
          </w:tcPr>
          <w:p w14:paraId="028CB49A"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single" w:sz="4" w:space="0" w:color="auto"/>
              <w:bottom w:val="single" w:sz="4" w:space="0" w:color="auto"/>
              <w:right w:val="single" w:sz="4" w:space="0" w:color="auto"/>
            </w:tcBorders>
            <w:shd w:val="clear" w:color="auto" w:fill="auto"/>
            <w:hideMark/>
          </w:tcPr>
          <w:p w14:paraId="6AF92E6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74769AB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51B036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785D550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F9522D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vAlign w:val="bottom"/>
            <w:hideMark/>
          </w:tcPr>
          <w:p w14:paraId="0765D49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hideMark/>
          </w:tcPr>
          <w:p w14:paraId="689979D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noWrap/>
            <w:hideMark/>
          </w:tcPr>
          <w:p w14:paraId="62E36CB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noWrap/>
            <w:hideMark/>
          </w:tcPr>
          <w:p w14:paraId="49CF8DB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3A7D67E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7807AD0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62F00988"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3F63DA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2.1.1.1.3</w:t>
            </w:r>
          </w:p>
        </w:tc>
        <w:tc>
          <w:tcPr>
            <w:tcW w:w="367" w:type="pct"/>
            <w:vMerge/>
            <w:tcBorders>
              <w:top w:val="nil"/>
              <w:left w:val="single" w:sz="4" w:space="0" w:color="auto"/>
              <w:bottom w:val="single" w:sz="4" w:space="0" w:color="000000"/>
              <w:right w:val="single" w:sz="4" w:space="0" w:color="auto"/>
            </w:tcBorders>
            <w:vAlign w:val="center"/>
            <w:hideMark/>
          </w:tcPr>
          <w:p w14:paraId="18A877E1"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single" w:sz="4" w:space="0" w:color="auto"/>
              <w:bottom w:val="nil"/>
              <w:right w:val="single" w:sz="4" w:space="0" w:color="auto"/>
            </w:tcBorders>
            <w:shd w:val="clear" w:color="auto" w:fill="auto"/>
            <w:hideMark/>
          </w:tcPr>
          <w:p w14:paraId="120BB36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nil"/>
              <w:right w:val="single" w:sz="4" w:space="0" w:color="auto"/>
            </w:tcBorders>
            <w:shd w:val="clear" w:color="auto" w:fill="auto"/>
            <w:vAlign w:val="center"/>
            <w:hideMark/>
          </w:tcPr>
          <w:p w14:paraId="65EE46E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nil"/>
              <w:right w:val="single" w:sz="4" w:space="0" w:color="auto"/>
            </w:tcBorders>
            <w:shd w:val="clear" w:color="000000" w:fill="FFFFFF"/>
            <w:noWrap/>
            <w:vAlign w:val="bottom"/>
            <w:hideMark/>
          </w:tcPr>
          <w:p w14:paraId="012275D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nil"/>
              <w:right w:val="single" w:sz="4" w:space="0" w:color="auto"/>
            </w:tcBorders>
            <w:shd w:val="clear" w:color="000000" w:fill="FFFFFF"/>
            <w:noWrap/>
            <w:vAlign w:val="bottom"/>
            <w:hideMark/>
          </w:tcPr>
          <w:p w14:paraId="220E965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nil"/>
              <w:right w:val="single" w:sz="4" w:space="0" w:color="auto"/>
            </w:tcBorders>
            <w:shd w:val="clear" w:color="000000" w:fill="FFFFFF"/>
            <w:noWrap/>
            <w:vAlign w:val="bottom"/>
            <w:hideMark/>
          </w:tcPr>
          <w:p w14:paraId="24AB338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nil"/>
              <w:right w:val="single" w:sz="4" w:space="0" w:color="auto"/>
            </w:tcBorders>
            <w:shd w:val="clear" w:color="000000" w:fill="FFFFFF"/>
            <w:noWrap/>
            <w:vAlign w:val="bottom"/>
            <w:hideMark/>
          </w:tcPr>
          <w:p w14:paraId="56E544F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nil"/>
              <w:right w:val="single" w:sz="4" w:space="0" w:color="auto"/>
            </w:tcBorders>
            <w:shd w:val="clear" w:color="000000" w:fill="FFFFFF"/>
            <w:noWrap/>
            <w:hideMark/>
          </w:tcPr>
          <w:p w14:paraId="34934AF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nil"/>
              <w:right w:val="single" w:sz="4" w:space="0" w:color="auto"/>
            </w:tcBorders>
            <w:shd w:val="clear" w:color="000000" w:fill="FFFFFF"/>
            <w:noWrap/>
            <w:hideMark/>
          </w:tcPr>
          <w:p w14:paraId="11AF29A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nil"/>
              <w:right w:val="single" w:sz="4" w:space="0" w:color="auto"/>
            </w:tcBorders>
            <w:shd w:val="clear" w:color="000000" w:fill="FFFFFF"/>
            <w:noWrap/>
            <w:hideMark/>
          </w:tcPr>
          <w:p w14:paraId="07DD387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nil"/>
              <w:right w:val="single" w:sz="4" w:space="0" w:color="auto"/>
            </w:tcBorders>
            <w:shd w:val="clear" w:color="auto" w:fill="auto"/>
            <w:hideMark/>
          </w:tcPr>
          <w:p w14:paraId="4CCD114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nil"/>
              <w:right w:val="single" w:sz="4" w:space="0" w:color="auto"/>
            </w:tcBorders>
            <w:shd w:val="clear" w:color="000000" w:fill="FFFFFF"/>
            <w:noWrap/>
            <w:textDirection w:val="tbRl"/>
            <w:vAlign w:val="center"/>
            <w:hideMark/>
          </w:tcPr>
          <w:p w14:paraId="721D23B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0117B22C"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DAA8F8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2.1.1.1.4.</w:t>
            </w:r>
          </w:p>
        </w:tc>
        <w:tc>
          <w:tcPr>
            <w:tcW w:w="367" w:type="pct"/>
            <w:vMerge/>
            <w:tcBorders>
              <w:top w:val="nil"/>
              <w:left w:val="single" w:sz="4" w:space="0" w:color="auto"/>
              <w:bottom w:val="single" w:sz="4" w:space="0" w:color="000000"/>
              <w:right w:val="single" w:sz="4" w:space="0" w:color="auto"/>
            </w:tcBorders>
            <w:vAlign w:val="center"/>
            <w:hideMark/>
          </w:tcPr>
          <w:p w14:paraId="0351282E"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single" w:sz="4" w:space="0" w:color="auto"/>
              <w:left w:val="single" w:sz="4" w:space="0" w:color="auto"/>
              <w:bottom w:val="single" w:sz="4" w:space="0" w:color="auto"/>
              <w:right w:val="single" w:sz="4" w:space="0" w:color="auto"/>
            </w:tcBorders>
            <w:shd w:val="clear" w:color="auto" w:fill="auto"/>
            <w:hideMark/>
          </w:tcPr>
          <w:p w14:paraId="5B7F230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single" w:sz="4" w:space="0" w:color="auto"/>
              <w:left w:val="nil"/>
              <w:bottom w:val="single" w:sz="4" w:space="0" w:color="auto"/>
              <w:right w:val="single" w:sz="4" w:space="0" w:color="auto"/>
            </w:tcBorders>
            <w:shd w:val="clear" w:color="auto" w:fill="auto"/>
            <w:vAlign w:val="center"/>
            <w:hideMark/>
          </w:tcPr>
          <w:p w14:paraId="376FDE3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single" w:sz="4" w:space="0" w:color="auto"/>
              <w:left w:val="nil"/>
              <w:bottom w:val="single" w:sz="4" w:space="0" w:color="auto"/>
              <w:right w:val="single" w:sz="4" w:space="0" w:color="auto"/>
            </w:tcBorders>
            <w:shd w:val="clear" w:color="000000" w:fill="FFFFFF"/>
            <w:noWrap/>
            <w:vAlign w:val="bottom"/>
            <w:hideMark/>
          </w:tcPr>
          <w:p w14:paraId="59AC116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single" w:sz="4" w:space="0" w:color="auto"/>
              <w:left w:val="nil"/>
              <w:bottom w:val="single" w:sz="4" w:space="0" w:color="auto"/>
              <w:right w:val="single" w:sz="4" w:space="0" w:color="auto"/>
            </w:tcBorders>
            <w:shd w:val="clear" w:color="000000" w:fill="FFFFFF"/>
            <w:noWrap/>
            <w:vAlign w:val="bottom"/>
            <w:hideMark/>
          </w:tcPr>
          <w:p w14:paraId="3924BC8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single" w:sz="4" w:space="0" w:color="auto"/>
              <w:left w:val="nil"/>
              <w:bottom w:val="single" w:sz="4" w:space="0" w:color="auto"/>
              <w:right w:val="single" w:sz="4" w:space="0" w:color="auto"/>
            </w:tcBorders>
            <w:shd w:val="clear" w:color="000000" w:fill="FFFFFF"/>
            <w:noWrap/>
            <w:vAlign w:val="bottom"/>
            <w:hideMark/>
          </w:tcPr>
          <w:p w14:paraId="5161DA5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single" w:sz="4" w:space="0" w:color="auto"/>
              <w:left w:val="nil"/>
              <w:bottom w:val="single" w:sz="4" w:space="0" w:color="auto"/>
              <w:right w:val="single" w:sz="4" w:space="0" w:color="auto"/>
            </w:tcBorders>
            <w:shd w:val="clear" w:color="000000" w:fill="FFFFFF"/>
            <w:noWrap/>
            <w:vAlign w:val="bottom"/>
            <w:hideMark/>
          </w:tcPr>
          <w:p w14:paraId="32021E2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single" w:sz="4" w:space="0" w:color="auto"/>
              <w:left w:val="nil"/>
              <w:bottom w:val="single" w:sz="4" w:space="0" w:color="auto"/>
              <w:right w:val="single" w:sz="4" w:space="0" w:color="auto"/>
            </w:tcBorders>
            <w:shd w:val="clear" w:color="000000" w:fill="FFFFFF"/>
            <w:noWrap/>
            <w:hideMark/>
          </w:tcPr>
          <w:p w14:paraId="164AF91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single" w:sz="4" w:space="0" w:color="auto"/>
              <w:left w:val="nil"/>
              <w:bottom w:val="single" w:sz="4" w:space="0" w:color="auto"/>
              <w:right w:val="single" w:sz="4" w:space="0" w:color="auto"/>
            </w:tcBorders>
            <w:shd w:val="clear" w:color="000000" w:fill="FFFFFF"/>
            <w:noWrap/>
            <w:hideMark/>
          </w:tcPr>
          <w:p w14:paraId="554288B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single" w:sz="4" w:space="0" w:color="auto"/>
              <w:left w:val="nil"/>
              <w:bottom w:val="single" w:sz="4" w:space="0" w:color="auto"/>
              <w:right w:val="single" w:sz="4" w:space="0" w:color="auto"/>
            </w:tcBorders>
            <w:shd w:val="clear" w:color="000000" w:fill="FFFFFF"/>
            <w:noWrap/>
            <w:hideMark/>
          </w:tcPr>
          <w:p w14:paraId="74830E5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single" w:sz="4" w:space="0" w:color="auto"/>
              <w:left w:val="nil"/>
              <w:bottom w:val="single" w:sz="4" w:space="0" w:color="auto"/>
              <w:right w:val="single" w:sz="4" w:space="0" w:color="auto"/>
            </w:tcBorders>
            <w:shd w:val="clear" w:color="auto" w:fill="auto"/>
            <w:hideMark/>
          </w:tcPr>
          <w:p w14:paraId="62CA459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single" w:sz="4" w:space="0" w:color="auto"/>
              <w:left w:val="nil"/>
              <w:bottom w:val="single" w:sz="4" w:space="0" w:color="auto"/>
              <w:right w:val="single" w:sz="4" w:space="0" w:color="auto"/>
            </w:tcBorders>
            <w:shd w:val="clear" w:color="000000" w:fill="FFFFFF"/>
            <w:noWrap/>
            <w:textDirection w:val="tbRl"/>
            <w:vAlign w:val="center"/>
            <w:hideMark/>
          </w:tcPr>
          <w:p w14:paraId="04DBD8C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560A0E42"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51AE2B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2.1.1.1.5.</w:t>
            </w:r>
          </w:p>
        </w:tc>
        <w:tc>
          <w:tcPr>
            <w:tcW w:w="367" w:type="pct"/>
            <w:vMerge/>
            <w:tcBorders>
              <w:top w:val="nil"/>
              <w:left w:val="single" w:sz="4" w:space="0" w:color="auto"/>
              <w:bottom w:val="single" w:sz="4" w:space="0" w:color="000000"/>
              <w:right w:val="single" w:sz="4" w:space="0" w:color="auto"/>
            </w:tcBorders>
            <w:vAlign w:val="center"/>
            <w:hideMark/>
          </w:tcPr>
          <w:p w14:paraId="7378E1DE"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single" w:sz="4" w:space="0" w:color="auto"/>
              <w:bottom w:val="single" w:sz="4" w:space="0" w:color="auto"/>
              <w:right w:val="single" w:sz="4" w:space="0" w:color="auto"/>
            </w:tcBorders>
            <w:shd w:val="clear" w:color="auto" w:fill="auto"/>
            <w:hideMark/>
          </w:tcPr>
          <w:p w14:paraId="7F7E075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20ECF27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D1EB94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EB7219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290E2F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vAlign w:val="bottom"/>
            <w:hideMark/>
          </w:tcPr>
          <w:p w14:paraId="7B61002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hideMark/>
          </w:tcPr>
          <w:p w14:paraId="534F450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noWrap/>
            <w:hideMark/>
          </w:tcPr>
          <w:p w14:paraId="2319448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noWrap/>
            <w:hideMark/>
          </w:tcPr>
          <w:p w14:paraId="1B663D4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3C4A28B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0408860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0612D770"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6ED1EA35" w14:textId="08FE0E86" w:rsidR="0077672F" w:rsidRPr="0077672F" w:rsidRDefault="0077672F" w:rsidP="0077672F">
            <w:pPr>
              <w:spacing w:after="60"/>
              <w:jc w:val="center"/>
              <w:rPr>
                <w:rFonts w:eastAsia="Times New Roman" w:cs="Arial"/>
                <w:sz w:val="22"/>
                <w:lang w:eastAsia="fr-FR"/>
              </w:rPr>
            </w:pPr>
            <w:r w:rsidRPr="0077672F">
              <w:rPr>
                <w:rFonts w:eastAsia="Times New Roman" w:cs="Arial"/>
                <w:b/>
                <w:bCs/>
                <w:sz w:val="22"/>
                <w:lang w:eastAsia="fr-FR"/>
              </w:rPr>
              <w:t xml:space="preserve">Extrant 2.1.2.  </w:t>
            </w:r>
          </w:p>
        </w:tc>
      </w:tr>
      <w:tr w:rsidR="0077672F" w:rsidRPr="006B0D8A" w14:paraId="1933D018"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1BDF919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 xml:space="preserve">2.1.2.2.1 </w:t>
            </w:r>
          </w:p>
        </w:tc>
        <w:tc>
          <w:tcPr>
            <w:tcW w:w="367" w:type="pct"/>
            <w:vMerge w:val="restart"/>
            <w:tcBorders>
              <w:top w:val="nil"/>
              <w:left w:val="single" w:sz="4" w:space="0" w:color="auto"/>
              <w:bottom w:val="single" w:sz="4" w:space="0" w:color="000000"/>
              <w:right w:val="single" w:sz="4" w:space="0" w:color="000000"/>
            </w:tcBorders>
            <w:shd w:val="clear" w:color="auto" w:fill="auto"/>
            <w:vAlign w:val="center"/>
            <w:hideMark/>
          </w:tcPr>
          <w:p w14:paraId="6AE2417F"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 2. </w:t>
            </w:r>
          </w:p>
        </w:tc>
        <w:tc>
          <w:tcPr>
            <w:tcW w:w="327" w:type="pct"/>
            <w:tcBorders>
              <w:top w:val="nil"/>
              <w:left w:val="nil"/>
              <w:bottom w:val="single" w:sz="4" w:space="0" w:color="auto"/>
              <w:right w:val="single" w:sz="4" w:space="0" w:color="auto"/>
            </w:tcBorders>
            <w:shd w:val="clear" w:color="auto" w:fill="auto"/>
            <w:hideMark/>
          </w:tcPr>
          <w:p w14:paraId="04F7A2F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2B32D07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7753C8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47A0D1B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7F99B01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vAlign w:val="bottom"/>
            <w:hideMark/>
          </w:tcPr>
          <w:p w14:paraId="460664E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hideMark/>
          </w:tcPr>
          <w:p w14:paraId="7E5A1BC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noWrap/>
            <w:hideMark/>
          </w:tcPr>
          <w:p w14:paraId="61E8990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noWrap/>
            <w:hideMark/>
          </w:tcPr>
          <w:p w14:paraId="3343859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40681EA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756E07F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79BCDEF5"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73C2E1E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2.1.2.2.2. </w:t>
            </w:r>
          </w:p>
        </w:tc>
        <w:tc>
          <w:tcPr>
            <w:tcW w:w="367" w:type="pct"/>
            <w:vMerge/>
            <w:tcBorders>
              <w:top w:val="nil"/>
              <w:left w:val="single" w:sz="4" w:space="0" w:color="auto"/>
              <w:bottom w:val="single" w:sz="4" w:space="0" w:color="000000"/>
              <w:right w:val="single" w:sz="4" w:space="0" w:color="000000"/>
            </w:tcBorders>
            <w:vAlign w:val="center"/>
            <w:hideMark/>
          </w:tcPr>
          <w:p w14:paraId="1660B203"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1699C9F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24E627B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C8EF55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367049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227E39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vAlign w:val="bottom"/>
            <w:hideMark/>
          </w:tcPr>
          <w:p w14:paraId="6F53877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hideMark/>
          </w:tcPr>
          <w:p w14:paraId="728128D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noWrap/>
            <w:hideMark/>
          </w:tcPr>
          <w:p w14:paraId="6007972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noWrap/>
            <w:hideMark/>
          </w:tcPr>
          <w:p w14:paraId="1E3E295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1C5436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17B79AD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52F54BFE"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5DC2529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2.1.2.2.3.</w:t>
            </w:r>
          </w:p>
        </w:tc>
        <w:tc>
          <w:tcPr>
            <w:tcW w:w="367" w:type="pct"/>
            <w:vMerge/>
            <w:tcBorders>
              <w:top w:val="nil"/>
              <w:left w:val="single" w:sz="4" w:space="0" w:color="auto"/>
              <w:bottom w:val="single" w:sz="4" w:space="0" w:color="000000"/>
              <w:right w:val="single" w:sz="4" w:space="0" w:color="000000"/>
            </w:tcBorders>
            <w:vAlign w:val="center"/>
            <w:hideMark/>
          </w:tcPr>
          <w:p w14:paraId="02E65E5E"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5ABEFFE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6C6B62B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6EB7AAC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71F5E1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969BBC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vAlign w:val="bottom"/>
            <w:hideMark/>
          </w:tcPr>
          <w:p w14:paraId="58557AD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hideMark/>
          </w:tcPr>
          <w:p w14:paraId="625650C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noWrap/>
            <w:hideMark/>
          </w:tcPr>
          <w:p w14:paraId="24652DB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noWrap/>
            <w:hideMark/>
          </w:tcPr>
          <w:p w14:paraId="5896CBD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2C180B6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317AE6C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2586FD15"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2167C897" w14:textId="081EB742"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2.1.3</w:t>
            </w:r>
          </w:p>
        </w:tc>
      </w:tr>
      <w:tr w:rsidR="0077672F" w:rsidRPr="006B0D8A" w14:paraId="3835871A"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46A7D94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2.1.3.3.1.</w:t>
            </w:r>
          </w:p>
        </w:tc>
        <w:tc>
          <w:tcPr>
            <w:tcW w:w="367" w:type="pct"/>
            <w:vMerge w:val="restart"/>
            <w:tcBorders>
              <w:top w:val="nil"/>
              <w:left w:val="single" w:sz="4" w:space="0" w:color="auto"/>
              <w:bottom w:val="single" w:sz="4" w:space="0" w:color="000000"/>
              <w:right w:val="single" w:sz="4" w:space="0" w:color="auto"/>
            </w:tcBorders>
            <w:shd w:val="clear" w:color="auto" w:fill="auto"/>
            <w:vAlign w:val="center"/>
            <w:hideMark/>
          </w:tcPr>
          <w:p w14:paraId="30468F85"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 3. </w:t>
            </w:r>
          </w:p>
        </w:tc>
        <w:tc>
          <w:tcPr>
            <w:tcW w:w="327" w:type="pct"/>
            <w:tcBorders>
              <w:top w:val="nil"/>
              <w:left w:val="nil"/>
              <w:bottom w:val="single" w:sz="4" w:space="0" w:color="auto"/>
              <w:right w:val="single" w:sz="4" w:space="0" w:color="auto"/>
            </w:tcBorders>
            <w:shd w:val="clear" w:color="auto" w:fill="auto"/>
            <w:hideMark/>
          </w:tcPr>
          <w:p w14:paraId="1DFCB34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0276ECC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76698C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5FF3E1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4BFDF39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vAlign w:val="bottom"/>
            <w:hideMark/>
          </w:tcPr>
          <w:p w14:paraId="6877A02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hideMark/>
          </w:tcPr>
          <w:p w14:paraId="5047FB5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noWrap/>
            <w:hideMark/>
          </w:tcPr>
          <w:p w14:paraId="7483210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noWrap/>
            <w:hideMark/>
          </w:tcPr>
          <w:p w14:paraId="65963E1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4FD8D5A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4C88D3E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44169541"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788CCFE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2.1.3.3.2. </w:t>
            </w:r>
          </w:p>
        </w:tc>
        <w:tc>
          <w:tcPr>
            <w:tcW w:w="367" w:type="pct"/>
            <w:vMerge/>
            <w:tcBorders>
              <w:top w:val="nil"/>
              <w:left w:val="single" w:sz="4" w:space="0" w:color="auto"/>
              <w:bottom w:val="single" w:sz="4" w:space="0" w:color="000000"/>
              <w:right w:val="single" w:sz="4" w:space="0" w:color="auto"/>
            </w:tcBorders>
            <w:vAlign w:val="center"/>
            <w:hideMark/>
          </w:tcPr>
          <w:p w14:paraId="4D10BA7E"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15CF4B1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4C7F961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5AE55D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1C20C0C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F903C5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vAlign w:val="bottom"/>
            <w:hideMark/>
          </w:tcPr>
          <w:p w14:paraId="4B67388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hideMark/>
          </w:tcPr>
          <w:p w14:paraId="51F0A75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noWrap/>
            <w:hideMark/>
          </w:tcPr>
          <w:p w14:paraId="185006E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noWrap/>
            <w:hideMark/>
          </w:tcPr>
          <w:p w14:paraId="5125870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27BA4A2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30BC550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5CB9BE78"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3168C2C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2.1.3.3.3.</w:t>
            </w:r>
          </w:p>
        </w:tc>
        <w:tc>
          <w:tcPr>
            <w:tcW w:w="367" w:type="pct"/>
            <w:vMerge/>
            <w:tcBorders>
              <w:top w:val="nil"/>
              <w:left w:val="single" w:sz="4" w:space="0" w:color="auto"/>
              <w:bottom w:val="single" w:sz="4" w:space="0" w:color="000000"/>
              <w:right w:val="single" w:sz="4" w:space="0" w:color="auto"/>
            </w:tcBorders>
            <w:vAlign w:val="center"/>
            <w:hideMark/>
          </w:tcPr>
          <w:p w14:paraId="1B05B9F8"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45BC18D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5C12B1D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43DAA5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CBBF97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325EE0E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vAlign w:val="bottom"/>
            <w:hideMark/>
          </w:tcPr>
          <w:p w14:paraId="7CE6524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hideMark/>
          </w:tcPr>
          <w:p w14:paraId="2AF0857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noWrap/>
            <w:hideMark/>
          </w:tcPr>
          <w:p w14:paraId="683D7EF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noWrap/>
            <w:hideMark/>
          </w:tcPr>
          <w:p w14:paraId="1A3DE92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42597C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413D037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12EB91D6"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5CCCF92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2.1.3.3.4.</w:t>
            </w:r>
          </w:p>
        </w:tc>
        <w:tc>
          <w:tcPr>
            <w:tcW w:w="367" w:type="pct"/>
            <w:vMerge/>
            <w:tcBorders>
              <w:top w:val="nil"/>
              <w:left w:val="single" w:sz="4" w:space="0" w:color="auto"/>
              <w:bottom w:val="single" w:sz="4" w:space="0" w:color="000000"/>
              <w:right w:val="single" w:sz="4" w:space="0" w:color="auto"/>
            </w:tcBorders>
            <w:vAlign w:val="center"/>
            <w:hideMark/>
          </w:tcPr>
          <w:p w14:paraId="3E802FA7"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56B1009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vAlign w:val="center"/>
            <w:hideMark/>
          </w:tcPr>
          <w:p w14:paraId="5F719D4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24AB1AD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5330609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000000" w:fill="FFFFFF"/>
            <w:noWrap/>
            <w:vAlign w:val="bottom"/>
            <w:hideMark/>
          </w:tcPr>
          <w:p w14:paraId="01F7A36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vAlign w:val="bottom"/>
            <w:hideMark/>
          </w:tcPr>
          <w:p w14:paraId="144498F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noWrap/>
            <w:hideMark/>
          </w:tcPr>
          <w:p w14:paraId="26ADCAF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noWrap/>
            <w:hideMark/>
          </w:tcPr>
          <w:p w14:paraId="7450919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noWrap/>
            <w:hideMark/>
          </w:tcPr>
          <w:p w14:paraId="51EF281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EE22ED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000000" w:fill="FFFFFF"/>
            <w:noWrap/>
            <w:textDirection w:val="tbRl"/>
            <w:vAlign w:val="center"/>
            <w:hideMark/>
          </w:tcPr>
          <w:p w14:paraId="262C775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558A8AC5"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C6E0B4"/>
            <w:hideMark/>
          </w:tcPr>
          <w:p w14:paraId="620E316A" w14:textId="22BF12ED" w:rsidR="0077672F" w:rsidRPr="0077672F" w:rsidRDefault="0077672F" w:rsidP="0077672F">
            <w:pPr>
              <w:spacing w:after="60"/>
              <w:jc w:val="center"/>
              <w:rPr>
                <w:rFonts w:eastAsia="Times New Roman" w:cs="Arial"/>
                <w:b/>
                <w:bCs/>
                <w:sz w:val="22"/>
                <w:lang w:eastAsia="fr-FR"/>
              </w:rPr>
            </w:pPr>
            <w:r w:rsidRPr="0077672F">
              <w:rPr>
                <w:rFonts w:eastAsia="Times New Roman" w:cs="Arial"/>
                <w:b/>
                <w:bCs/>
                <w:sz w:val="22"/>
                <w:lang w:eastAsia="fr-FR"/>
              </w:rPr>
              <w:t>Résultat Immédiat 2.2. OS 2</w:t>
            </w:r>
          </w:p>
        </w:tc>
      </w:tr>
      <w:tr w:rsidR="0077672F" w:rsidRPr="0077672F" w14:paraId="36E3E3B6"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1848AB64" w14:textId="444B3565"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 xml:space="preserve">Extrant 2.2.1. </w:t>
            </w:r>
          </w:p>
        </w:tc>
      </w:tr>
      <w:tr w:rsidR="0077672F" w:rsidRPr="006B0D8A" w14:paraId="71BFFF63" w14:textId="77777777" w:rsidTr="0077672F">
        <w:trPr>
          <w:trHeight w:val="234"/>
        </w:trPr>
        <w:tc>
          <w:tcPr>
            <w:tcW w:w="764" w:type="pct"/>
            <w:tcBorders>
              <w:top w:val="nil"/>
              <w:left w:val="single" w:sz="4" w:space="0" w:color="auto"/>
              <w:bottom w:val="single" w:sz="4" w:space="0" w:color="auto"/>
              <w:right w:val="single" w:sz="4" w:space="0" w:color="auto"/>
            </w:tcBorders>
            <w:shd w:val="clear" w:color="auto" w:fill="auto"/>
            <w:hideMark/>
          </w:tcPr>
          <w:p w14:paraId="5FA3826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2.2.1.1.1.</w:t>
            </w:r>
          </w:p>
        </w:tc>
        <w:tc>
          <w:tcPr>
            <w:tcW w:w="367" w:type="pct"/>
            <w:vMerge w:val="restart"/>
            <w:tcBorders>
              <w:top w:val="nil"/>
              <w:left w:val="single" w:sz="4" w:space="0" w:color="auto"/>
              <w:bottom w:val="nil"/>
              <w:right w:val="single" w:sz="4" w:space="0" w:color="auto"/>
            </w:tcBorders>
            <w:shd w:val="clear" w:color="auto" w:fill="auto"/>
            <w:vAlign w:val="center"/>
            <w:hideMark/>
          </w:tcPr>
          <w:p w14:paraId="1ECF6A1D"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1.</w:t>
            </w:r>
          </w:p>
        </w:tc>
        <w:tc>
          <w:tcPr>
            <w:tcW w:w="327" w:type="pct"/>
            <w:tcBorders>
              <w:top w:val="nil"/>
              <w:left w:val="nil"/>
              <w:bottom w:val="single" w:sz="4" w:space="0" w:color="auto"/>
              <w:right w:val="single" w:sz="4" w:space="0" w:color="auto"/>
            </w:tcBorders>
            <w:shd w:val="clear" w:color="auto" w:fill="auto"/>
            <w:hideMark/>
          </w:tcPr>
          <w:p w14:paraId="16269E3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628FBED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F989C9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CBD057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A872BD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0EAA159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2E0A77E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62A6A80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2E8980A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6C18FAD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155B7C6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566879FB" w14:textId="77777777" w:rsidTr="0077672F">
        <w:trPr>
          <w:trHeight w:val="224"/>
        </w:trPr>
        <w:tc>
          <w:tcPr>
            <w:tcW w:w="764" w:type="pct"/>
            <w:tcBorders>
              <w:top w:val="nil"/>
              <w:left w:val="single" w:sz="4" w:space="0" w:color="auto"/>
              <w:bottom w:val="single" w:sz="4" w:space="0" w:color="auto"/>
              <w:right w:val="single" w:sz="4" w:space="0" w:color="auto"/>
            </w:tcBorders>
            <w:shd w:val="clear" w:color="auto" w:fill="auto"/>
            <w:hideMark/>
          </w:tcPr>
          <w:p w14:paraId="6DB56AD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2.2.1.1.2.</w:t>
            </w:r>
          </w:p>
        </w:tc>
        <w:tc>
          <w:tcPr>
            <w:tcW w:w="367" w:type="pct"/>
            <w:vMerge/>
            <w:tcBorders>
              <w:top w:val="nil"/>
              <w:left w:val="single" w:sz="4" w:space="0" w:color="auto"/>
              <w:bottom w:val="nil"/>
              <w:right w:val="single" w:sz="4" w:space="0" w:color="auto"/>
            </w:tcBorders>
            <w:vAlign w:val="center"/>
            <w:hideMark/>
          </w:tcPr>
          <w:p w14:paraId="63D130FE"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6B516D9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2DE63A9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462425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898DAA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1B081B3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210A01C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17F1EFA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3782B4E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2C62CB5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651FEF7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1532BC2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77672F" w14:paraId="3AB873B3"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6F0F5839" w14:textId="6CE54DC9"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2.2.2.</w:t>
            </w:r>
          </w:p>
        </w:tc>
      </w:tr>
      <w:tr w:rsidR="0077672F" w:rsidRPr="006B0D8A" w14:paraId="54DC6BBA"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513B709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2.2.2.2.1. </w:t>
            </w:r>
          </w:p>
        </w:tc>
        <w:tc>
          <w:tcPr>
            <w:tcW w:w="367" w:type="pct"/>
            <w:vMerge w:val="restart"/>
            <w:tcBorders>
              <w:top w:val="nil"/>
              <w:left w:val="single" w:sz="4" w:space="0" w:color="auto"/>
              <w:bottom w:val="single" w:sz="4" w:space="0" w:color="auto"/>
              <w:right w:val="single" w:sz="4" w:space="0" w:color="auto"/>
            </w:tcBorders>
            <w:shd w:val="clear" w:color="auto" w:fill="auto"/>
            <w:vAlign w:val="center"/>
            <w:hideMark/>
          </w:tcPr>
          <w:p w14:paraId="705A6302"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2.</w:t>
            </w:r>
          </w:p>
        </w:tc>
        <w:tc>
          <w:tcPr>
            <w:tcW w:w="327" w:type="pct"/>
            <w:tcBorders>
              <w:top w:val="nil"/>
              <w:left w:val="nil"/>
              <w:bottom w:val="single" w:sz="4" w:space="0" w:color="auto"/>
              <w:right w:val="single" w:sz="4" w:space="0" w:color="auto"/>
            </w:tcBorders>
            <w:shd w:val="clear" w:color="auto" w:fill="auto"/>
            <w:hideMark/>
          </w:tcPr>
          <w:p w14:paraId="569538F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35B8261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49A149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6142B8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ED7026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79842F3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5F1520B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4895A39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2FB1A2C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4CBEC51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4D9B2B6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3D235F62"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71D949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2.2.2.2.2.</w:t>
            </w:r>
          </w:p>
        </w:tc>
        <w:tc>
          <w:tcPr>
            <w:tcW w:w="367" w:type="pct"/>
            <w:vMerge/>
            <w:tcBorders>
              <w:top w:val="nil"/>
              <w:left w:val="single" w:sz="4" w:space="0" w:color="auto"/>
              <w:bottom w:val="single" w:sz="4" w:space="0" w:color="auto"/>
              <w:right w:val="single" w:sz="4" w:space="0" w:color="auto"/>
            </w:tcBorders>
            <w:vAlign w:val="center"/>
            <w:hideMark/>
          </w:tcPr>
          <w:p w14:paraId="34DA2C6A"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30E6A3E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1B2A435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F65139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23ADD5F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EF6F29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42C6A1F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593F6EC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71895BB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3D8FBD9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4E69227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325D376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0A0E13E0"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110EFAD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2.2.2.2.3</w:t>
            </w:r>
          </w:p>
        </w:tc>
        <w:tc>
          <w:tcPr>
            <w:tcW w:w="367" w:type="pct"/>
            <w:vMerge/>
            <w:tcBorders>
              <w:top w:val="nil"/>
              <w:left w:val="single" w:sz="4" w:space="0" w:color="auto"/>
              <w:bottom w:val="single" w:sz="4" w:space="0" w:color="auto"/>
              <w:right w:val="single" w:sz="4" w:space="0" w:color="auto"/>
            </w:tcBorders>
            <w:vAlign w:val="center"/>
            <w:hideMark/>
          </w:tcPr>
          <w:p w14:paraId="06B99B1E"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19808A4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7346222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4993A3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55C0A9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170FAAF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4F1F54B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0002FD0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0DB0CC2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5293F3B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0FA9AF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7917330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77672F" w14:paraId="4F206864"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589E61F2" w14:textId="140E8338"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 xml:space="preserve">Extrant 2.2.3. </w:t>
            </w:r>
          </w:p>
        </w:tc>
      </w:tr>
      <w:tr w:rsidR="0077672F" w:rsidRPr="006B0D8A" w14:paraId="18A067D0"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951984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lastRenderedPageBreak/>
              <w:t>Activité</w:t>
            </w:r>
            <w:r w:rsidRPr="006B0D8A">
              <w:rPr>
                <w:rFonts w:eastAsia="Times New Roman" w:cs="Arial"/>
                <w:color w:val="000000"/>
                <w:sz w:val="18"/>
                <w:szCs w:val="18"/>
                <w:lang w:eastAsia="fr-FR"/>
              </w:rPr>
              <w:t>2.2.3.3.1</w:t>
            </w:r>
          </w:p>
        </w:tc>
        <w:tc>
          <w:tcPr>
            <w:tcW w:w="367" w:type="pct"/>
            <w:vMerge w:val="restart"/>
            <w:tcBorders>
              <w:top w:val="nil"/>
              <w:left w:val="single" w:sz="4" w:space="0" w:color="auto"/>
              <w:bottom w:val="single" w:sz="4" w:space="0" w:color="auto"/>
              <w:right w:val="single" w:sz="4" w:space="0" w:color="auto"/>
            </w:tcBorders>
            <w:shd w:val="clear" w:color="auto" w:fill="auto"/>
            <w:vAlign w:val="center"/>
            <w:hideMark/>
          </w:tcPr>
          <w:p w14:paraId="3A4A9383"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3.</w:t>
            </w:r>
          </w:p>
        </w:tc>
        <w:tc>
          <w:tcPr>
            <w:tcW w:w="327" w:type="pct"/>
            <w:tcBorders>
              <w:top w:val="nil"/>
              <w:left w:val="nil"/>
              <w:bottom w:val="single" w:sz="4" w:space="0" w:color="auto"/>
              <w:right w:val="single" w:sz="4" w:space="0" w:color="auto"/>
            </w:tcBorders>
            <w:shd w:val="clear" w:color="auto" w:fill="auto"/>
            <w:hideMark/>
          </w:tcPr>
          <w:p w14:paraId="5A09CE4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453B2A6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9D746A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22BE513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A3E1E3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3C1B0F0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751B9B8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3F29DDF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4435EDE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63F3A8B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159BE4A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44292800"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5CBB5B6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2.2.3.3.2</w:t>
            </w:r>
          </w:p>
        </w:tc>
        <w:tc>
          <w:tcPr>
            <w:tcW w:w="367" w:type="pct"/>
            <w:vMerge/>
            <w:tcBorders>
              <w:top w:val="nil"/>
              <w:left w:val="single" w:sz="4" w:space="0" w:color="auto"/>
              <w:bottom w:val="single" w:sz="4" w:space="0" w:color="auto"/>
              <w:right w:val="single" w:sz="4" w:space="0" w:color="auto"/>
            </w:tcBorders>
            <w:vAlign w:val="center"/>
            <w:hideMark/>
          </w:tcPr>
          <w:p w14:paraId="1AAF154E"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49D1075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73142CD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808F47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A977AA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04866E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54A1764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5143560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1F47913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179B134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333F168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1651334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12AD0AA4"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79F04F7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2.2.3.3.3</w:t>
            </w:r>
          </w:p>
        </w:tc>
        <w:tc>
          <w:tcPr>
            <w:tcW w:w="367" w:type="pct"/>
            <w:vMerge/>
            <w:tcBorders>
              <w:top w:val="nil"/>
              <w:left w:val="single" w:sz="4" w:space="0" w:color="auto"/>
              <w:bottom w:val="single" w:sz="4" w:space="0" w:color="auto"/>
              <w:right w:val="single" w:sz="4" w:space="0" w:color="auto"/>
            </w:tcBorders>
            <w:vAlign w:val="center"/>
            <w:hideMark/>
          </w:tcPr>
          <w:p w14:paraId="13260677"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34D2C28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147E3AF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9A9FCB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1950B52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84337C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55BF51C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27B1885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60C7BF1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69FB385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65AC362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1AA6F90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2B9885D2"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137E01C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2.2.3.3.4</w:t>
            </w:r>
          </w:p>
        </w:tc>
        <w:tc>
          <w:tcPr>
            <w:tcW w:w="367" w:type="pct"/>
            <w:vMerge/>
            <w:tcBorders>
              <w:top w:val="nil"/>
              <w:left w:val="single" w:sz="4" w:space="0" w:color="auto"/>
              <w:bottom w:val="single" w:sz="4" w:space="0" w:color="auto"/>
              <w:right w:val="single" w:sz="4" w:space="0" w:color="auto"/>
            </w:tcBorders>
            <w:vAlign w:val="center"/>
            <w:hideMark/>
          </w:tcPr>
          <w:p w14:paraId="64172514"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66F65EC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149F1BC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6F9D4E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29693E1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57FDD9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5564862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C7C5F8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1A69056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4A00E79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FC1FF1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7063469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436EEF78"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1552972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2.2.3.3.5</w:t>
            </w:r>
          </w:p>
        </w:tc>
        <w:tc>
          <w:tcPr>
            <w:tcW w:w="367" w:type="pct"/>
            <w:vMerge/>
            <w:tcBorders>
              <w:top w:val="nil"/>
              <w:left w:val="single" w:sz="4" w:space="0" w:color="auto"/>
              <w:bottom w:val="single" w:sz="4" w:space="0" w:color="auto"/>
              <w:right w:val="single" w:sz="4" w:space="0" w:color="auto"/>
            </w:tcBorders>
            <w:vAlign w:val="center"/>
            <w:hideMark/>
          </w:tcPr>
          <w:p w14:paraId="1C7D0F5B"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04C2D04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40BD12C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087289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C2D658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49CADC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9C2AA6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C10948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731EC7B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7EE0E56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4CCF76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163D298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3938FCD9"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11E596C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2.2.3.3.6</w:t>
            </w:r>
          </w:p>
        </w:tc>
        <w:tc>
          <w:tcPr>
            <w:tcW w:w="367" w:type="pct"/>
            <w:vMerge/>
            <w:tcBorders>
              <w:top w:val="nil"/>
              <w:left w:val="single" w:sz="4" w:space="0" w:color="auto"/>
              <w:bottom w:val="single" w:sz="4" w:space="0" w:color="auto"/>
              <w:right w:val="single" w:sz="4" w:space="0" w:color="auto"/>
            </w:tcBorders>
            <w:vAlign w:val="center"/>
            <w:hideMark/>
          </w:tcPr>
          <w:p w14:paraId="2FD51A85"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1D6720D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18634DE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4B0EF3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2D6B9D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2A486A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7CCDD5A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7F8A98F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031A452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21DA7B9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5C36A8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44DBA44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7D0104C6" w14:textId="77777777" w:rsidTr="0077672F">
        <w:trPr>
          <w:trHeight w:val="234"/>
        </w:trPr>
        <w:tc>
          <w:tcPr>
            <w:tcW w:w="764" w:type="pct"/>
            <w:tcBorders>
              <w:top w:val="nil"/>
              <w:left w:val="single" w:sz="4" w:space="0" w:color="auto"/>
              <w:bottom w:val="single" w:sz="4" w:space="0" w:color="auto"/>
              <w:right w:val="single" w:sz="4" w:space="0" w:color="auto"/>
            </w:tcBorders>
            <w:shd w:val="clear" w:color="auto" w:fill="auto"/>
            <w:hideMark/>
          </w:tcPr>
          <w:p w14:paraId="5A48E34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 xml:space="preserve">Activité </w:t>
            </w:r>
            <w:r w:rsidRPr="006B0D8A">
              <w:rPr>
                <w:rFonts w:eastAsia="Times New Roman" w:cs="Arial"/>
                <w:color w:val="000000"/>
                <w:sz w:val="18"/>
                <w:szCs w:val="18"/>
                <w:lang w:eastAsia="fr-FR"/>
              </w:rPr>
              <w:t>2.2.3.3.7</w:t>
            </w:r>
          </w:p>
        </w:tc>
        <w:tc>
          <w:tcPr>
            <w:tcW w:w="367" w:type="pct"/>
            <w:vMerge/>
            <w:tcBorders>
              <w:top w:val="nil"/>
              <w:left w:val="single" w:sz="4" w:space="0" w:color="auto"/>
              <w:bottom w:val="single" w:sz="4" w:space="0" w:color="auto"/>
              <w:right w:val="single" w:sz="4" w:space="0" w:color="auto"/>
            </w:tcBorders>
            <w:vAlign w:val="center"/>
            <w:hideMark/>
          </w:tcPr>
          <w:p w14:paraId="394306F6"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000000" w:fill="FFFFFF"/>
            <w:hideMark/>
          </w:tcPr>
          <w:p w14:paraId="5B6ED6B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46312CE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793CF9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2C8FA68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1DF363C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1D46A22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39C69C9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1372F79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3C9163C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30AD8FC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0D72826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783DC983"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C6E0B4"/>
            <w:hideMark/>
          </w:tcPr>
          <w:p w14:paraId="1E81E513" w14:textId="536FE402" w:rsidR="0077672F" w:rsidRPr="0077672F" w:rsidRDefault="0077672F" w:rsidP="0077672F">
            <w:pPr>
              <w:spacing w:after="60"/>
              <w:jc w:val="center"/>
              <w:rPr>
                <w:rFonts w:eastAsia="Times New Roman" w:cs="Arial"/>
                <w:b/>
                <w:bCs/>
                <w:sz w:val="22"/>
                <w:lang w:eastAsia="fr-FR"/>
              </w:rPr>
            </w:pPr>
            <w:r w:rsidRPr="0077672F">
              <w:rPr>
                <w:rFonts w:eastAsia="Times New Roman" w:cs="Arial"/>
                <w:b/>
                <w:bCs/>
                <w:sz w:val="22"/>
                <w:lang w:eastAsia="fr-FR"/>
              </w:rPr>
              <w:t>Résultat Immédiat 2.3. OS 3</w:t>
            </w:r>
          </w:p>
        </w:tc>
      </w:tr>
      <w:tr w:rsidR="0077672F" w:rsidRPr="0077672F" w14:paraId="624476D9"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29314583" w14:textId="6BA78E9E"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 xml:space="preserve">Extrant 2.3.1.  </w:t>
            </w:r>
          </w:p>
        </w:tc>
      </w:tr>
      <w:tr w:rsidR="0077672F" w:rsidRPr="006B0D8A" w14:paraId="6DC5773B"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77904EE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2.3.1.1.1.</w:t>
            </w:r>
          </w:p>
        </w:tc>
        <w:tc>
          <w:tcPr>
            <w:tcW w:w="367" w:type="pct"/>
            <w:vMerge w:val="restart"/>
            <w:tcBorders>
              <w:top w:val="nil"/>
              <w:left w:val="single" w:sz="4" w:space="0" w:color="auto"/>
              <w:bottom w:val="nil"/>
              <w:right w:val="single" w:sz="4" w:space="0" w:color="auto"/>
            </w:tcBorders>
            <w:shd w:val="clear" w:color="auto" w:fill="auto"/>
            <w:vAlign w:val="center"/>
            <w:hideMark/>
          </w:tcPr>
          <w:p w14:paraId="762EE4BA"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1.</w:t>
            </w:r>
          </w:p>
        </w:tc>
        <w:tc>
          <w:tcPr>
            <w:tcW w:w="327" w:type="pct"/>
            <w:tcBorders>
              <w:top w:val="nil"/>
              <w:left w:val="nil"/>
              <w:bottom w:val="single" w:sz="4" w:space="0" w:color="auto"/>
              <w:right w:val="single" w:sz="4" w:space="0" w:color="auto"/>
            </w:tcBorders>
            <w:shd w:val="clear" w:color="auto" w:fill="auto"/>
            <w:hideMark/>
          </w:tcPr>
          <w:p w14:paraId="0009AF6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0E9BCC2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9F4C38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DFEBA4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03C229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1E075CA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1B7B497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63BEFAA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30A1D18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4AEEDB4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485E894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4CA2D589"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4B7BF7B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2.3.1.1.2.</w:t>
            </w:r>
          </w:p>
        </w:tc>
        <w:tc>
          <w:tcPr>
            <w:tcW w:w="367" w:type="pct"/>
            <w:vMerge/>
            <w:tcBorders>
              <w:top w:val="nil"/>
              <w:left w:val="single" w:sz="4" w:space="0" w:color="auto"/>
              <w:bottom w:val="nil"/>
              <w:right w:val="single" w:sz="4" w:space="0" w:color="auto"/>
            </w:tcBorders>
            <w:vAlign w:val="center"/>
            <w:hideMark/>
          </w:tcPr>
          <w:p w14:paraId="6DDBD750"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25E0071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1E7D782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E76D50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FD7EA4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943731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0BA4312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34FD495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73F2F7E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4B1D315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39FA709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57BEC54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77672F" w14:paraId="69849DCD"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0EE104DF" w14:textId="43B16E97"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Extrant 2.3.2.</w:t>
            </w:r>
          </w:p>
        </w:tc>
      </w:tr>
      <w:tr w:rsidR="0077672F" w:rsidRPr="006B0D8A" w14:paraId="1C6A0553" w14:textId="77777777" w:rsidTr="0077672F">
        <w:trPr>
          <w:trHeight w:val="233"/>
        </w:trPr>
        <w:tc>
          <w:tcPr>
            <w:tcW w:w="764" w:type="pct"/>
            <w:tcBorders>
              <w:top w:val="nil"/>
              <w:left w:val="single" w:sz="4" w:space="0" w:color="auto"/>
              <w:bottom w:val="single" w:sz="4" w:space="0" w:color="auto"/>
              <w:right w:val="single" w:sz="4" w:space="0" w:color="auto"/>
            </w:tcBorders>
            <w:shd w:val="clear" w:color="auto" w:fill="auto"/>
            <w:hideMark/>
          </w:tcPr>
          <w:p w14:paraId="1FA6A38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2.3.2.2.1.</w:t>
            </w:r>
          </w:p>
        </w:tc>
        <w:tc>
          <w:tcPr>
            <w:tcW w:w="367" w:type="pct"/>
            <w:vMerge w:val="restart"/>
            <w:tcBorders>
              <w:top w:val="nil"/>
              <w:left w:val="single" w:sz="4" w:space="0" w:color="auto"/>
              <w:bottom w:val="single" w:sz="4" w:space="0" w:color="auto"/>
              <w:right w:val="single" w:sz="4" w:space="0" w:color="auto"/>
            </w:tcBorders>
            <w:shd w:val="clear" w:color="auto" w:fill="auto"/>
            <w:vAlign w:val="center"/>
            <w:hideMark/>
          </w:tcPr>
          <w:p w14:paraId="56DD4F82"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2.</w:t>
            </w:r>
          </w:p>
        </w:tc>
        <w:tc>
          <w:tcPr>
            <w:tcW w:w="327" w:type="pct"/>
            <w:tcBorders>
              <w:top w:val="nil"/>
              <w:left w:val="nil"/>
              <w:bottom w:val="single" w:sz="4" w:space="0" w:color="auto"/>
              <w:right w:val="single" w:sz="4" w:space="0" w:color="auto"/>
            </w:tcBorders>
            <w:shd w:val="clear" w:color="auto" w:fill="auto"/>
            <w:hideMark/>
          </w:tcPr>
          <w:p w14:paraId="03400EA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4B7F3A7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AF2D59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0F954C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8363C6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53B8C4D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7263532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677AC99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6C94F44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296C581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3C7CD7A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4211B563"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A5B0AF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2.3.2.2.2.</w:t>
            </w:r>
          </w:p>
        </w:tc>
        <w:tc>
          <w:tcPr>
            <w:tcW w:w="367" w:type="pct"/>
            <w:vMerge/>
            <w:tcBorders>
              <w:top w:val="nil"/>
              <w:left w:val="single" w:sz="4" w:space="0" w:color="auto"/>
              <w:bottom w:val="single" w:sz="4" w:space="0" w:color="auto"/>
              <w:right w:val="single" w:sz="4" w:space="0" w:color="auto"/>
            </w:tcBorders>
            <w:vAlign w:val="center"/>
            <w:hideMark/>
          </w:tcPr>
          <w:p w14:paraId="01C02FA0"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44EFBFB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3C9A272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0DD981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021047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1DB5666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5327726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2B5D07E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2B05EA8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1D026E2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0148510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4E58DC8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0E3CB40C"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3C6863B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2.3.2.2.3.</w:t>
            </w:r>
          </w:p>
        </w:tc>
        <w:tc>
          <w:tcPr>
            <w:tcW w:w="367" w:type="pct"/>
            <w:vMerge/>
            <w:tcBorders>
              <w:top w:val="nil"/>
              <w:left w:val="single" w:sz="4" w:space="0" w:color="auto"/>
              <w:bottom w:val="single" w:sz="4" w:space="0" w:color="auto"/>
              <w:right w:val="single" w:sz="4" w:space="0" w:color="auto"/>
            </w:tcBorders>
            <w:vAlign w:val="center"/>
            <w:hideMark/>
          </w:tcPr>
          <w:p w14:paraId="0BC55725"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2CACD1C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7CF78C2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FC80F4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8FFEF1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D84115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1E99CAE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D0A2F1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5ABDC5D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3D5BE1A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08ECE35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02DA5D5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1A868483"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49D3DC1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2.3.2.2.4.</w:t>
            </w:r>
          </w:p>
        </w:tc>
        <w:tc>
          <w:tcPr>
            <w:tcW w:w="367" w:type="pct"/>
            <w:vMerge/>
            <w:tcBorders>
              <w:top w:val="nil"/>
              <w:left w:val="single" w:sz="4" w:space="0" w:color="auto"/>
              <w:bottom w:val="single" w:sz="4" w:space="0" w:color="auto"/>
              <w:right w:val="single" w:sz="4" w:space="0" w:color="auto"/>
            </w:tcBorders>
            <w:vAlign w:val="center"/>
            <w:hideMark/>
          </w:tcPr>
          <w:p w14:paraId="5FB05EBC"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0C2F4B7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0D6E965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689F1A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508650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E19148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6334C44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7A5B883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2485F32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41CD461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7B06483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3B0DC68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1EA5982D"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35964A0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2.3.2.2.5.</w:t>
            </w:r>
          </w:p>
        </w:tc>
        <w:tc>
          <w:tcPr>
            <w:tcW w:w="367" w:type="pct"/>
            <w:vMerge/>
            <w:tcBorders>
              <w:top w:val="nil"/>
              <w:left w:val="single" w:sz="4" w:space="0" w:color="auto"/>
              <w:bottom w:val="single" w:sz="4" w:space="0" w:color="auto"/>
              <w:right w:val="single" w:sz="4" w:space="0" w:color="auto"/>
            </w:tcBorders>
            <w:vAlign w:val="center"/>
            <w:hideMark/>
          </w:tcPr>
          <w:p w14:paraId="61A3412A"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4F07D8C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7B15039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036BC5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EE57B8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4C0BCF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311F12B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101F054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1119364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0F43127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B28113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6B28FE0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088F8611"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51CBBD2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2.3.2.2.6.</w:t>
            </w:r>
          </w:p>
        </w:tc>
        <w:tc>
          <w:tcPr>
            <w:tcW w:w="367" w:type="pct"/>
            <w:vMerge/>
            <w:tcBorders>
              <w:top w:val="nil"/>
              <w:left w:val="single" w:sz="4" w:space="0" w:color="auto"/>
              <w:bottom w:val="single" w:sz="4" w:space="0" w:color="auto"/>
              <w:right w:val="single" w:sz="4" w:space="0" w:color="auto"/>
            </w:tcBorders>
            <w:vAlign w:val="center"/>
            <w:hideMark/>
          </w:tcPr>
          <w:p w14:paraId="102473F6"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6181625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3BA6390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2E6E62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1F188F3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C3AB5B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43597EE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5B6531F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543A9B5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6766EEF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72EA4BB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2167074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5D326622"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516E80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 xml:space="preserve">2.3.2.2.7. </w:t>
            </w:r>
          </w:p>
        </w:tc>
        <w:tc>
          <w:tcPr>
            <w:tcW w:w="367" w:type="pct"/>
            <w:vMerge/>
            <w:tcBorders>
              <w:top w:val="nil"/>
              <w:left w:val="single" w:sz="4" w:space="0" w:color="auto"/>
              <w:bottom w:val="single" w:sz="4" w:space="0" w:color="auto"/>
              <w:right w:val="single" w:sz="4" w:space="0" w:color="auto"/>
            </w:tcBorders>
            <w:vAlign w:val="center"/>
            <w:hideMark/>
          </w:tcPr>
          <w:p w14:paraId="5AD05B0A"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000000" w:fill="FFFFFF"/>
            <w:hideMark/>
          </w:tcPr>
          <w:p w14:paraId="06416A3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1693D8A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0EB6C5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22A902A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8D6A1F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D108BD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2ED2CF9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68739F9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36BD35D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3C88EB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1016FE9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5114ABE3"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7D6970AE" w14:textId="683B23EA"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 xml:space="preserve">Extrant 2.3.3.  </w:t>
            </w:r>
          </w:p>
        </w:tc>
      </w:tr>
      <w:tr w:rsidR="0077672F" w:rsidRPr="006B0D8A" w14:paraId="66663572"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112F3D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2.2.3.3.1 .</w:t>
            </w:r>
          </w:p>
        </w:tc>
        <w:tc>
          <w:tcPr>
            <w:tcW w:w="367" w:type="pct"/>
            <w:vMerge w:val="restart"/>
            <w:tcBorders>
              <w:top w:val="nil"/>
              <w:left w:val="single" w:sz="4" w:space="0" w:color="auto"/>
              <w:bottom w:val="single" w:sz="4" w:space="0" w:color="auto"/>
              <w:right w:val="single" w:sz="4" w:space="0" w:color="auto"/>
            </w:tcBorders>
            <w:shd w:val="clear" w:color="auto" w:fill="auto"/>
            <w:vAlign w:val="center"/>
            <w:hideMark/>
          </w:tcPr>
          <w:p w14:paraId="6F223B4D"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3. </w:t>
            </w:r>
          </w:p>
        </w:tc>
        <w:tc>
          <w:tcPr>
            <w:tcW w:w="327" w:type="pct"/>
            <w:tcBorders>
              <w:top w:val="nil"/>
              <w:left w:val="nil"/>
              <w:bottom w:val="single" w:sz="4" w:space="0" w:color="auto"/>
              <w:right w:val="single" w:sz="4" w:space="0" w:color="auto"/>
            </w:tcBorders>
            <w:shd w:val="clear" w:color="auto" w:fill="auto"/>
            <w:hideMark/>
          </w:tcPr>
          <w:p w14:paraId="0F49E6E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212BA4A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22585CC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2EB39E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518E19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2693C1D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D810AD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2A8A700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1BF817F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7BCB97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3E232C4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3868B5F9"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7A1D433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2.2.3.3.2.</w:t>
            </w:r>
          </w:p>
        </w:tc>
        <w:tc>
          <w:tcPr>
            <w:tcW w:w="367" w:type="pct"/>
            <w:vMerge/>
            <w:tcBorders>
              <w:top w:val="nil"/>
              <w:left w:val="single" w:sz="4" w:space="0" w:color="auto"/>
              <w:bottom w:val="single" w:sz="4" w:space="0" w:color="auto"/>
              <w:right w:val="single" w:sz="4" w:space="0" w:color="auto"/>
            </w:tcBorders>
            <w:vAlign w:val="center"/>
            <w:hideMark/>
          </w:tcPr>
          <w:p w14:paraId="4FA83E91"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0475135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1A73180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C6E1D0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75BCCB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7C94D0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609D5A3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F99D05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1AD93D9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1B1DA4D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B49F97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3FF5166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343B3779"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419DB6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2.2.3.3.3</w:t>
            </w:r>
          </w:p>
        </w:tc>
        <w:tc>
          <w:tcPr>
            <w:tcW w:w="367" w:type="pct"/>
            <w:vMerge/>
            <w:tcBorders>
              <w:top w:val="nil"/>
              <w:left w:val="single" w:sz="4" w:space="0" w:color="auto"/>
              <w:bottom w:val="single" w:sz="4" w:space="0" w:color="auto"/>
              <w:right w:val="single" w:sz="4" w:space="0" w:color="auto"/>
            </w:tcBorders>
            <w:vAlign w:val="center"/>
            <w:hideMark/>
          </w:tcPr>
          <w:p w14:paraId="0F032FB4"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0849B6B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0EF3C91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976A18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171F323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22D5A1E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78B1BAF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555D921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01BA041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583B1B9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6E9DCBF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36A6B35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384C816F"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5ECBE42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2.2.3.3.4</w:t>
            </w:r>
          </w:p>
        </w:tc>
        <w:tc>
          <w:tcPr>
            <w:tcW w:w="367" w:type="pct"/>
            <w:vMerge/>
            <w:tcBorders>
              <w:top w:val="nil"/>
              <w:left w:val="single" w:sz="4" w:space="0" w:color="auto"/>
              <w:bottom w:val="single" w:sz="4" w:space="0" w:color="auto"/>
              <w:right w:val="single" w:sz="4" w:space="0" w:color="auto"/>
            </w:tcBorders>
            <w:vAlign w:val="center"/>
            <w:hideMark/>
          </w:tcPr>
          <w:p w14:paraId="4EFC01FC"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000000" w:fill="FFFFFF"/>
            <w:hideMark/>
          </w:tcPr>
          <w:p w14:paraId="34E4F04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4DE26B1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233645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89E2C2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710FBB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2195454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768FB35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01E02F2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107DD27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4601181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330740C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0AABC1C8"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C6E0B4"/>
            <w:hideMark/>
          </w:tcPr>
          <w:p w14:paraId="7DF3BD22" w14:textId="326B8EA4" w:rsidR="0077672F" w:rsidRPr="0077672F" w:rsidRDefault="0077672F" w:rsidP="0077672F">
            <w:pPr>
              <w:spacing w:after="60"/>
              <w:jc w:val="center"/>
              <w:rPr>
                <w:rFonts w:eastAsia="Times New Roman" w:cs="Arial"/>
                <w:b/>
                <w:bCs/>
                <w:sz w:val="22"/>
                <w:lang w:eastAsia="fr-FR"/>
              </w:rPr>
            </w:pPr>
            <w:r w:rsidRPr="0077672F">
              <w:rPr>
                <w:rFonts w:eastAsia="Times New Roman" w:cs="Arial"/>
                <w:b/>
                <w:bCs/>
                <w:sz w:val="22"/>
                <w:lang w:eastAsia="fr-FR"/>
              </w:rPr>
              <w:t>Résultat Immédiat 2.4. OS 4</w:t>
            </w:r>
          </w:p>
        </w:tc>
      </w:tr>
      <w:tr w:rsidR="0077672F" w:rsidRPr="0077672F" w14:paraId="68ED8C50"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78A4E4E1" w14:textId="02AA7F7D"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 xml:space="preserve">Extrant 2.4.1.   </w:t>
            </w:r>
          </w:p>
        </w:tc>
      </w:tr>
      <w:tr w:rsidR="0077672F" w:rsidRPr="006B0D8A" w14:paraId="4778DF0D"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7C2CCD9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2.4.1.1.1.</w:t>
            </w:r>
          </w:p>
        </w:tc>
        <w:tc>
          <w:tcPr>
            <w:tcW w:w="367" w:type="pct"/>
            <w:vMerge w:val="restart"/>
            <w:tcBorders>
              <w:top w:val="nil"/>
              <w:left w:val="single" w:sz="4" w:space="0" w:color="auto"/>
              <w:bottom w:val="nil"/>
              <w:right w:val="single" w:sz="4" w:space="0" w:color="auto"/>
            </w:tcBorders>
            <w:shd w:val="clear" w:color="auto" w:fill="auto"/>
            <w:vAlign w:val="center"/>
            <w:hideMark/>
          </w:tcPr>
          <w:p w14:paraId="5DD76B8C"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1. </w:t>
            </w:r>
          </w:p>
        </w:tc>
        <w:tc>
          <w:tcPr>
            <w:tcW w:w="327" w:type="pct"/>
            <w:tcBorders>
              <w:top w:val="nil"/>
              <w:left w:val="nil"/>
              <w:bottom w:val="single" w:sz="4" w:space="0" w:color="auto"/>
              <w:right w:val="single" w:sz="4" w:space="0" w:color="auto"/>
            </w:tcBorders>
            <w:shd w:val="clear" w:color="auto" w:fill="auto"/>
            <w:hideMark/>
          </w:tcPr>
          <w:p w14:paraId="2C45D07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0D5B7A0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965A16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1AEEE3F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9AC168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39E921CB"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3FC2400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1A1F8A9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4713825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27D11A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231A6A9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4C030C65"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311E3A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2.4.1.1.2.</w:t>
            </w:r>
          </w:p>
        </w:tc>
        <w:tc>
          <w:tcPr>
            <w:tcW w:w="367" w:type="pct"/>
            <w:vMerge/>
            <w:tcBorders>
              <w:top w:val="nil"/>
              <w:left w:val="single" w:sz="4" w:space="0" w:color="auto"/>
              <w:bottom w:val="nil"/>
              <w:right w:val="single" w:sz="4" w:space="0" w:color="auto"/>
            </w:tcBorders>
            <w:vAlign w:val="center"/>
            <w:hideMark/>
          </w:tcPr>
          <w:p w14:paraId="6056F653"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0334AFA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1742D6C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A35A27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76A5FBA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8B51D3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372FEE67"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44D9AA3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6D635CF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17F3366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687B7EE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64C09AE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6B0D8A" w14:paraId="3AD35813"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BFF6A4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2.4.1.1.3.</w:t>
            </w:r>
          </w:p>
        </w:tc>
        <w:tc>
          <w:tcPr>
            <w:tcW w:w="367" w:type="pct"/>
            <w:vMerge/>
            <w:tcBorders>
              <w:top w:val="nil"/>
              <w:left w:val="single" w:sz="4" w:space="0" w:color="auto"/>
              <w:bottom w:val="nil"/>
              <w:right w:val="single" w:sz="4" w:space="0" w:color="auto"/>
            </w:tcBorders>
            <w:vAlign w:val="center"/>
            <w:hideMark/>
          </w:tcPr>
          <w:p w14:paraId="009D6C6F"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32557FB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1512765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051BBB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A99F7E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FC7905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05F9A4D1"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55348A6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5BAEEFF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61384F9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48530A0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34B5BAF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r>
      <w:tr w:rsidR="0077672F" w:rsidRPr="0077672F" w14:paraId="00B22029"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5F029244" w14:textId="5F96EB93"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 xml:space="preserve">Extrant 2.4.2.  </w:t>
            </w:r>
          </w:p>
        </w:tc>
      </w:tr>
      <w:tr w:rsidR="0077672F" w:rsidRPr="006B0D8A" w14:paraId="7737B9C4"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4C88761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2.4.2.2.1.</w:t>
            </w:r>
          </w:p>
        </w:tc>
        <w:tc>
          <w:tcPr>
            <w:tcW w:w="367" w:type="pct"/>
            <w:vMerge w:val="restart"/>
            <w:tcBorders>
              <w:top w:val="nil"/>
              <w:left w:val="single" w:sz="4" w:space="0" w:color="auto"/>
              <w:bottom w:val="single" w:sz="4" w:space="0" w:color="auto"/>
              <w:right w:val="single" w:sz="4" w:space="0" w:color="auto"/>
            </w:tcBorders>
            <w:shd w:val="clear" w:color="auto" w:fill="auto"/>
            <w:vAlign w:val="center"/>
            <w:hideMark/>
          </w:tcPr>
          <w:p w14:paraId="2A286A11"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 xml:space="preserve">2. </w:t>
            </w:r>
          </w:p>
        </w:tc>
        <w:tc>
          <w:tcPr>
            <w:tcW w:w="327" w:type="pct"/>
            <w:tcBorders>
              <w:top w:val="nil"/>
              <w:left w:val="nil"/>
              <w:bottom w:val="single" w:sz="4" w:space="0" w:color="auto"/>
              <w:right w:val="single" w:sz="4" w:space="0" w:color="auto"/>
            </w:tcBorders>
            <w:shd w:val="clear" w:color="auto" w:fill="auto"/>
            <w:hideMark/>
          </w:tcPr>
          <w:p w14:paraId="6B79D535"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3BF5339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8C8D98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C4E20A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C47963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215B676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4A9A613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1F9128F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1EDC7FD7"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0C21303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7043E1B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33EA1B62"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2FDE97B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2.4.2.2.2.</w:t>
            </w:r>
          </w:p>
        </w:tc>
        <w:tc>
          <w:tcPr>
            <w:tcW w:w="367" w:type="pct"/>
            <w:vMerge/>
            <w:tcBorders>
              <w:top w:val="nil"/>
              <w:left w:val="single" w:sz="4" w:space="0" w:color="auto"/>
              <w:bottom w:val="single" w:sz="4" w:space="0" w:color="auto"/>
              <w:right w:val="single" w:sz="4" w:space="0" w:color="auto"/>
            </w:tcBorders>
            <w:vAlign w:val="center"/>
            <w:hideMark/>
          </w:tcPr>
          <w:p w14:paraId="096EA5D7"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74DCED9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5A93947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AB2A41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24EF06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969BA0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38113AE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80DDD3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16ECD91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1750BA6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0F0B7E4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46F8052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030ADFF4"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3729484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2.4.2.2.3.</w:t>
            </w:r>
          </w:p>
        </w:tc>
        <w:tc>
          <w:tcPr>
            <w:tcW w:w="367" w:type="pct"/>
            <w:vMerge/>
            <w:tcBorders>
              <w:top w:val="nil"/>
              <w:left w:val="single" w:sz="4" w:space="0" w:color="auto"/>
              <w:bottom w:val="single" w:sz="4" w:space="0" w:color="auto"/>
              <w:right w:val="single" w:sz="4" w:space="0" w:color="auto"/>
            </w:tcBorders>
            <w:vAlign w:val="center"/>
            <w:hideMark/>
          </w:tcPr>
          <w:p w14:paraId="45C5D4A8"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517C1236"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1FD3920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1295424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31B5DD5"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BEB59E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1EE5664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6191EE2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366A8D7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30C1B74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2A18068"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58C7C62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26CF800E"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533E562D"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2.4.2.2.4.</w:t>
            </w:r>
          </w:p>
        </w:tc>
        <w:tc>
          <w:tcPr>
            <w:tcW w:w="367" w:type="pct"/>
            <w:vMerge/>
            <w:tcBorders>
              <w:top w:val="nil"/>
              <w:left w:val="single" w:sz="4" w:space="0" w:color="auto"/>
              <w:bottom w:val="single" w:sz="4" w:space="0" w:color="auto"/>
              <w:right w:val="single" w:sz="4" w:space="0" w:color="auto"/>
            </w:tcBorders>
            <w:vAlign w:val="center"/>
            <w:hideMark/>
          </w:tcPr>
          <w:p w14:paraId="197CE195"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66E6C474"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3E0B803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A4385C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B708A38"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7737F8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4EF46C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6A7A8AF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7A31332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4C84B68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1A5A9AEE"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20F6600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0BD90D34"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01706EC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2.4.2.2.5.</w:t>
            </w:r>
          </w:p>
        </w:tc>
        <w:tc>
          <w:tcPr>
            <w:tcW w:w="367" w:type="pct"/>
            <w:vMerge/>
            <w:tcBorders>
              <w:top w:val="nil"/>
              <w:left w:val="single" w:sz="4" w:space="0" w:color="auto"/>
              <w:bottom w:val="single" w:sz="4" w:space="0" w:color="auto"/>
              <w:right w:val="single" w:sz="4" w:space="0" w:color="auto"/>
            </w:tcBorders>
            <w:vAlign w:val="center"/>
            <w:hideMark/>
          </w:tcPr>
          <w:p w14:paraId="5157A6E2"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000000" w:fill="FFFFFF"/>
            <w:hideMark/>
          </w:tcPr>
          <w:p w14:paraId="2AAA01F9"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571A728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2CA9041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6B0F4FD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457677E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CE34E9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auto" w:fill="auto"/>
            <w:hideMark/>
          </w:tcPr>
          <w:p w14:paraId="674B812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auto" w:fill="auto"/>
            <w:hideMark/>
          </w:tcPr>
          <w:p w14:paraId="56A67DE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auto" w:fill="auto"/>
            <w:hideMark/>
          </w:tcPr>
          <w:p w14:paraId="4C39AEE2"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BF7005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2DD6286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77672F" w14:paraId="7090CE19" w14:textId="77777777" w:rsidTr="0077672F">
        <w:trPr>
          <w:trHeight w:val="295"/>
        </w:trPr>
        <w:tc>
          <w:tcPr>
            <w:tcW w:w="5000" w:type="pct"/>
            <w:gridSpan w:val="13"/>
            <w:tcBorders>
              <w:top w:val="single" w:sz="4" w:space="0" w:color="auto"/>
              <w:left w:val="single" w:sz="4" w:space="0" w:color="auto"/>
              <w:bottom w:val="single" w:sz="4" w:space="0" w:color="auto"/>
              <w:right w:val="single" w:sz="4" w:space="0" w:color="auto"/>
            </w:tcBorders>
            <w:shd w:val="clear" w:color="000000" w:fill="FDE9D9"/>
            <w:vAlign w:val="center"/>
            <w:hideMark/>
          </w:tcPr>
          <w:p w14:paraId="4AC13165" w14:textId="001EFBC5" w:rsidR="0077672F" w:rsidRPr="0077672F" w:rsidRDefault="0077672F" w:rsidP="0077672F">
            <w:pPr>
              <w:spacing w:after="60"/>
              <w:jc w:val="center"/>
              <w:rPr>
                <w:rFonts w:eastAsia="Times New Roman" w:cs="Arial"/>
                <w:sz w:val="20"/>
                <w:szCs w:val="20"/>
                <w:lang w:eastAsia="fr-FR"/>
              </w:rPr>
            </w:pPr>
            <w:r w:rsidRPr="0077672F">
              <w:rPr>
                <w:rFonts w:eastAsia="Times New Roman" w:cs="Arial"/>
                <w:b/>
                <w:bCs/>
                <w:sz w:val="20"/>
                <w:szCs w:val="20"/>
                <w:lang w:eastAsia="fr-FR"/>
              </w:rPr>
              <w:t xml:space="preserve">Extrant 2.4.3.   </w:t>
            </w:r>
          </w:p>
        </w:tc>
      </w:tr>
      <w:tr w:rsidR="0077672F" w:rsidRPr="006B0D8A" w14:paraId="035D69C8"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7E3F9030"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2.4.3.3.1</w:t>
            </w:r>
          </w:p>
        </w:tc>
        <w:tc>
          <w:tcPr>
            <w:tcW w:w="367" w:type="pct"/>
            <w:vMerge w:val="restart"/>
            <w:tcBorders>
              <w:top w:val="nil"/>
              <w:left w:val="single" w:sz="4" w:space="0" w:color="auto"/>
              <w:bottom w:val="single" w:sz="4" w:space="0" w:color="auto"/>
              <w:right w:val="single" w:sz="4" w:space="0" w:color="auto"/>
            </w:tcBorders>
            <w:shd w:val="clear" w:color="auto" w:fill="auto"/>
            <w:vAlign w:val="center"/>
            <w:hideMark/>
          </w:tcPr>
          <w:p w14:paraId="678B6C0F" w14:textId="77777777" w:rsidR="0077672F" w:rsidRPr="006B0D8A" w:rsidRDefault="0077672F" w:rsidP="0077672F">
            <w:pPr>
              <w:spacing w:after="60"/>
              <w:jc w:val="center"/>
              <w:rPr>
                <w:rFonts w:eastAsia="Times New Roman" w:cs="Arial"/>
                <w:color w:val="000000"/>
                <w:sz w:val="18"/>
                <w:szCs w:val="18"/>
                <w:lang w:eastAsia="fr-FR"/>
              </w:rPr>
            </w:pPr>
            <w:r w:rsidRPr="006B0D8A">
              <w:rPr>
                <w:rFonts w:eastAsia="Times New Roman" w:cs="Arial"/>
                <w:color w:val="000000"/>
                <w:sz w:val="18"/>
                <w:szCs w:val="18"/>
                <w:lang w:eastAsia="fr-FR"/>
              </w:rPr>
              <w:t>3.</w:t>
            </w:r>
          </w:p>
        </w:tc>
        <w:tc>
          <w:tcPr>
            <w:tcW w:w="327" w:type="pct"/>
            <w:tcBorders>
              <w:top w:val="nil"/>
              <w:left w:val="nil"/>
              <w:bottom w:val="single" w:sz="4" w:space="0" w:color="auto"/>
              <w:right w:val="single" w:sz="4" w:space="0" w:color="auto"/>
            </w:tcBorders>
            <w:shd w:val="clear" w:color="auto" w:fill="auto"/>
            <w:hideMark/>
          </w:tcPr>
          <w:p w14:paraId="6ABD6792"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7F3B29FF"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1BC7134D"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F3C2799"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01C7DC06"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6B50719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821F25E"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195BC22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703479B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282DF44A"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0601852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r w:rsidR="0077672F" w:rsidRPr="006B0D8A" w14:paraId="4CDAA56C" w14:textId="77777777" w:rsidTr="0077672F">
        <w:trPr>
          <w:trHeight w:val="295"/>
        </w:trPr>
        <w:tc>
          <w:tcPr>
            <w:tcW w:w="764" w:type="pct"/>
            <w:tcBorders>
              <w:top w:val="nil"/>
              <w:left w:val="single" w:sz="4" w:space="0" w:color="auto"/>
              <w:bottom w:val="single" w:sz="4" w:space="0" w:color="auto"/>
              <w:right w:val="single" w:sz="4" w:space="0" w:color="auto"/>
            </w:tcBorders>
            <w:shd w:val="clear" w:color="auto" w:fill="auto"/>
            <w:hideMark/>
          </w:tcPr>
          <w:p w14:paraId="31AFDDDF"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b/>
                <w:bCs/>
                <w:color w:val="000000"/>
                <w:sz w:val="18"/>
                <w:szCs w:val="18"/>
                <w:lang w:eastAsia="fr-FR"/>
              </w:rPr>
              <w:t>Activité</w:t>
            </w:r>
            <w:r w:rsidRPr="006B0D8A">
              <w:rPr>
                <w:rFonts w:eastAsia="Times New Roman" w:cs="Arial"/>
                <w:color w:val="000000"/>
                <w:sz w:val="18"/>
                <w:szCs w:val="18"/>
                <w:lang w:eastAsia="fr-FR"/>
              </w:rPr>
              <w:t>2.4.3.3.2.</w:t>
            </w:r>
          </w:p>
        </w:tc>
        <w:tc>
          <w:tcPr>
            <w:tcW w:w="367" w:type="pct"/>
            <w:vMerge/>
            <w:tcBorders>
              <w:top w:val="nil"/>
              <w:left w:val="single" w:sz="4" w:space="0" w:color="auto"/>
              <w:bottom w:val="single" w:sz="4" w:space="0" w:color="auto"/>
              <w:right w:val="single" w:sz="4" w:space="0" w:color="auto"/>
            </w:tcBorders>
            <w:vAlign w:val="center"/>
            <w:hideMark/>
          </w:tcPr>
          <w:p w14:paraId="42DF810A" w14:textId="77777777" w:rsidR="0077672F" w:rsidRPr="006B0D8A" w:rsidRDefault="0077672F" w:rsidP="0077672F">
            <w:pPr>
              <w:spacing w:after="60"/>
              <w:rPr>
                <w:rFonts w:eastAsia="Times New Roman" w:cs="Arial"/>
                <w:color w:val="000000"/>
                <w:sz w:val="18"/>
                <w:szCs w:val="18"/>
                <w:lang w:eastAsia="fr-FR"/>
              </w:rPr>
            </w:pPr>
          </w:p>
        </w:tc>
        <w:tc>
          <w:tcPr>
            <w:tcW w:w="327" w:type="pct"/>
            <w:tcBorders>
              <w:top w:val="nil"/>
              <w:left w:val="nil"/>
              <w:bottom w:val="single" w:sz="4" w:space="0" w:color="auto"/>
              <w:right w:val="single" w:sz="4" w:space="0" w:color="auto"/>
            </w:tcBorders>
            <w:shd w:val="clear" w:color="auto" w:fill="auto"/>
            <w:hideMark/>
          </w:tcPr>
          <w:p w14:paraId="13662BFC"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56" w:type="pct"/>
            <w:tcBorders>
              <w:top w:val="nil"/>
              <w:left w:val="nil"/>
              <w:bottom w:val="single" w:sz="4" w:space="0" w:color="auto"/>
              <w:right w:val="single" w:sz="4" w:space="0" w:color="auto"/>
            </w:tcBorders>
            <w:shd w:val="clear" w:color="auto" w:fill="auto"/>
            <w:hideMark/>
          </w:tcPr>
          <w:p w14:paraId="51B223BC"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3A11BE3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5B9F79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148" w:type="pct"/>
            <w:tcBorders>
              <w:top w:val="nil"/>
              <w:left w:val="nil"/>
              <w:bottom w:val="single" w:sz="4" w:space="0" w:color="auto"/>
              <w:right w:val="single" w:sz="4" w:space="0" w:color="auto"/>
            </w:tcBorders>
            <w:shd w:val="clear" w:color="auto" w:fill="auto"/>
            <w:hideMark/>
          </w:tcPr>
          <w:p w14:paraId="5A5BAED3"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A4EA820"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48" w:type="pct"/>
            <w:tcBorders>
              <w:top w:val="nil"/>
              <w:left w:val="nil"/>
              <w:bottom w:val="single" w:sz="4" w:space="0" w:color="auto"/>
              <w:right w:val="single" w:sz="4" w:space="0" w:color="auto"/>
            </w:tcBorders>
            <w:shd w:val="clear" w:color="000000" w:fill="FFFFFF"/>
            <w:hideMark/>
          </w:tcPr>
          <w:p w14:paraId="06949471"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307" w:type="pct"/>
            <w:tcBorders>
              <w:top w:val="nil"/>
              <w:left w:val="nil"/>
              <w:bottom w:val="single" w:sz="4" w:space="0" w:color="auto"/>
              <w:right w:val="single" w:sz="4" w:space="0" w:color="auto"/>
            </w:tcBorders>
            <w:shd w:val="clear" w:color="000000" w:fill="FFFFFF"/>
            <w:hideMark/>
          </w:tcPr>
          <w:p w14:paraId="0D0F6B1A"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528" w:type="pct"/>
            <w:tcBorders>
              <w:top w:val="nil"/>
              <w:left w:val="nil"/>
              <w:bottom w:val="single" w:sz="4" w:space="0" w:color="auto"/>
              <w:right w:val="single" w:sz="4" w:space="0" w:color="auto"/>
            </w:tcBorders>
            <w:shd w:val="clear" w:color="000000" w:fill="FFFFFF"/>
            <w:hideMark/>
          </w:tcPr>
          <w:p w14:paraId="238C72D4"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c>
          <w:tcPr>
            <w:tcW w:w="625" w:type="pct"/>
            <w:tcBorders>
              <w:top w:val="nil"/>
              <w:left w:val="nil"/>
              <w:bottom w:val="single" w:sz="4" w:space="0" w:color="auto"/>
              <w:right w:val="single" w:sz="4" w:space="0" w:color="auto"/>
            </w:tcBorders>
            <w:shd w:val="clear" w:color="auto" w:fill="auto"/>
            <w:hideMark/>
          </w:tcPr>
          <w:p w14:paraId="5E1DF333" w14:textId="77777777" w:rsidR="0077672F" w:rsidRPr="006B0D8A" w:rsidRDefault="0077672F" w:rsidP="0077672F">
            <w:pPr>
              <w:spacing w:after="60"/>
              <w:rPr>
                <w:rFonts w:eastAsia="Times New Roman" w:cs="Arial"/>
                <w:color w:val="000000"/>
                <w:sz w:val="18"/>
                <w:szCs w:val="18"/>
                <w:lang w:eastAsia="fr-FR"/>
              </w:rPr>
            </w:pPr>
            <w:r w:rsidRPr="006B0D8A">
              <w:rPr>
                <w:rFonts w:eastAsia="Times New Roman" w:cs="Arial"/>
                <w:color w:val="000000"/>
                <w:sz w:val="18"/>
                <w:szCs w:val="18"/>
                <w:lang w:eastAsia="fr-FR"/>
              </w:rPr>
              <w:t> </w:t>
            </w:r>
          </w:p>
        </w:tc>
        <w:tc>
          <w:tcPr>
            <w:tcW w:w="486" w:type="pct"/>
            <w:tcBorders>
              <w:top w:val="nil"/>
              <w:left w:val="nil"/>
              <w:bottom w:val="single" w:sz="4" w:space="0" w:color="auto"/>
              <w:right w:val="single" w:sz="4" w:space="0" w:color="auto"/>
            </w:tcBorders>
            <w:shd w:val="clear" w:color="auto" w:fill="auto"/>
            <w:hideMark/>
          </w:tcPr>
          <w:p w14:paraId="3E07D09B" w14:textId="77777777" w:rsidR="0077672F" w:rsidRPr="006B0D8A" w:rsidRDefault="0077672F" w:rsidP="0077672F">
            <w:pPr>
              <w:spacing w:after="60"/>
              <w:rPr>
                <w:rFonts w:eastAsia="Times New Roman" w:cs="Arial"/>
                <w:b/>
                <w:bCs/>
                <w:color w:val="000000"/>
                <w:sz w:val="18"/>
                <w:szCs w:val="18"/>
                <w:lang w:eastAsia="fr-FR"/>
              </w:rPr>
            </w:pPr>
            <w:r w:rsidRPr="006B0D8A">
              <w:rPr>
                <w:rFonts w:eastAsia="Times New Roman" w:cs="Arial"/>
                <w:b/>
                <w:bCs/>
                <w:color w:val="000000"/>
                <w:sz w:val="18"/>
                <w:szCs w:val="18"/>
                <w:lang w:eastAsia="fr-FR"/>
              </w:rPr>
              <w:t> </w:t>
            </w:r>
          </w:p>
        </w:tc>
      </w:tr>
    </w:tbl>
    <w:p w14:paraId="2487B64C" w14:textId="77777777" w:rsidR="0077672F" w:rsidRPr="0077672F" w:rsidRDefault="0077672F" w:rsidP="0077672F"/>
    <w:p w14:paraId="6A519AAD" w14:textId="77777777" w:rsidR="0077672F" w:rsidRDefault="0077672F">
      <w:pPr>
        <w:spacing w:after="160" w:line="259" w:lineRule="auto"/>
        <w:jc w:val="left"/>
        <w:rPr>
          <w:rFonts w:eastAsiaTheme="majorEastAsia" w:cstheme="majorBidi"/>
          <w:b/>
          <w:i/>
          <w:color w:val="323E4F" w:themeColor="text2" w:themeShade="BF"/>
          <w:sz w:val="30"/>
          <w:szCs w:val="24"/>
          <w:u w:val="single"/>
        </w:rPr>
      </w:pPr>
      <w:bookmarkStart w:id="112" w:name="_Toc135048587"/>
      <w:r>
        <w:rPr>
          <w:u w:val="single"/>
        </w:rPr>
        <w:br w:type="page"/>
      </w:r>
    </w:p>
    <w:p w14:paraId="01ECA2A7" w14:textId="2F910AA1" w:rsidR="0077672F" w:rsidRPr="0077672F" w:rsidRDefault="0077672F" w:rsidP="0077672F">
      <w:pPr>
        <w:pStyle w:val="Titre3"/>
      </w:pPr>
      <w:bookmarkStart w:id="113" w:name="_Toc135140205"/>
      <w:r w:rsidRPr="0077672F">
        <w:rPr>
          <w:u w:val="single"/>
        </w:rPr>
        <w:lastRenderedPageBreak/>
        <w:t>ANNEXE 4</w:t>
      </w:r>
      <w:r>
        <w:t xml:space="preserve"> </w:t>
      </w:r>
      <w:r w:rsidRPr="0077672F">
        <w:t>: Analyse SWOT</w:t>
      </w:r>
      <w:bookmarkEnd w:id="112"/>
      <w:bookmarkEnd w:id="113"/>
    </w:p>
    <w:p w14:paraId="3DB6F4C0" w14:textId="77777777" w:rsidR="0077672F" w:rsidRDefault="0077672F">
      <w:pPr>
        <w:spacing w:after="160" w:line="259" w:lineRule="auto"/>
        <w:jc w:val="left"/>
        <w:rPr>
          <w:rFonts w:eastAsia="Calibri"/>
          <w:b/>
          <w:color w:val="0388A4"/>
          <w:sz w:val="32"/>
          <w:szCs w:val="32"/>
        </w:rPr>
      </w:pPr>
    </w:p>
    <w:p w14:paraId="7E0C7500" w14:textId="39749BB8" w:rsidR="008018B7" w:rsidRDefault="008018B7">
      <w:pPr>
        <w:spacing w:after="160" w:line="259" w:lineRule="auto"/>
        <w:jc w:val="left"/>
        <w:rPr>
          <w:rFonts w:eastAsia="Calibri"/>
          <w:b/>
          <w:color w:val="0388A4"/>
          <w:sz w:val="32"/>
          <w:szCs w:val="32"/>
        </w:rPr>
      </w:pPr>
      <w:r>
        <w:rPr>
          <w:rFonts w:eastAsia="Calibri"/>
          <w:b/>
          <w:color w:val="0388A4"/>
          <w:sz w:val="32"/>
          <w:szCs w:val="32"/>
        </w:rPr>
        <w:br w:type="page"/>
      </w:r>
      <w:bookmarkEnd w:id="77"/>
      <w:r w:rsidR="00B40CC1" w:rsidRPr="00D23F30">
        <w:rPr>
          <w:rFonts w:cs="Tahoma"/>
          <w:b/>
          <w:noProof/>
          <w:color w:val="2F9AB3"/>
          <w:sz w:val="80"/>
          <w:szCs w:val="80"/>
          <w:lang w:eastAsia="fr-FR"/>
        </w:rPr>
        <w:lastRenderedPageBreak/>
        <w:drawing>
          <wp:anchor distT="0" distB="0" distL="114300" distR="114300" simplePos="0" relativeHeight="251816960" behindDoc="1" locked="0" layoutInCell="1" allowOverlap="0" wp14:anchorId="4986BD68" wp14:editId="7BBEAA30">
            <wp:simplePos x="0" y="0"/>
            <wp:positionH relativeFrom="page">
              <wp:align>left</wp:align>
            </wp:positionH>
            <wp:positionV relativeFrom="page">
              <wp:align>top</wp:align>
            </wp:positionV>
            <wp:extent cx="7564582" cy="10700223"/>
            <wp:effectExtent l="0" t="0" r="0" b="635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25">
                      <a:extLst>
                        <a:ext uri="{28A0092B-C50C-407E-A947-70E740481C1C}">
                          <a14:useLocalDpi xmlns:a14="http://schemas.microsoft.com/office/drawing/2010/main" val="0"/>
                        </a:ext>
                      </a:extLst>
                    </a:blip>
                    <a:stretch>
                      <a:fillRect/>
                    </a:stretch>
                  </pic:blipFill>
                  <pic:spPr>
                    <a:xfrm>
                      <a:off x="0" y="0"/>
                      <a:ext cx="7567252" cy="10704000"/>
                    </a:xfrm>
                    <a:prstGeom prst="rect">
                      <a:avLst/>
                    </a:prstGeom>
                  </pic:spPr>
                </pic:pic>
              </a:graphicData>
            </a:graphic>
            <wp14:sizeRelH relativeFrom="page">
              <wp14:pctWidth>0</wp14:pctWidth>
            </wp14:sizeRelH>
            <wp14:sizeRelV relativeFrom="page">
              <wp14:pctHeight>0</wp14:pctHeight>
            </wp14:sizeRelV>
          </wp:anchor>
        </w:drawing>
      </w:r>
    </w:p>
    <w:sectPr w:rsidR="008018B7" w:rsidSect="003161F5">
      <w:headerReference w:type="even" r:id="rId26"/>
      <w:headerReference w:type="default" r:id="rId27"/>
      <w:footerReference w:type="even" r:id="rId28"/>
      <w:footerReference w:type="default" r:id="rId29"/>
      <w:headerReference w:type="first" r:id="rId30"/>
      <w:footerReference w:type="first" r:id="rId31"/>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5CF9E3" w14:textId="77777777" w:rsidR="00890DD7" w:rsidRDefault="00890DD7" w:rsidP="00370196">
      <w:pPr>
        <w:spacing w:after="0" w:line="240" w:lineRule="auto"/>
      </w:pPr>
      <w:r>
        <w:separator/>
      </w:r>
    </w:p>
  </w:endnote>
  <w:endnote w:type="continuationSeparator" w:id="0">
    <w:p w14:paraId="4EC4A807" w14:textId="77777777" w:rsidR="00890DD7" w:rsidRDefault="00890DD7" w:rsidP="003701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Tw Cen MT">
    <w:panose1 w:val="020B0602020104020603"/>
    <w:charset w:val="00"/>
    <w:family w:val="auto"/>
    <w:pitch w:val="variable"/>
    <w:sig w:usb0="00000003" w:usb1="00000000" w:usb2="00000000" w:usb3="00000000" w:csb0="00000003" w:csb1="00000000"/>
  </w:font>
  <w:font w:name="游ゴシック Light">
    <w:charset w:val="80"/>
    <w:family w:val="auto"/>
    <w:pitch w:val="variable"/>
    <w:sig w:usb0="E00002FF" w:usb1="2AC7FDFF" w:usb2="00000016" w:usb3="00000000" w:csb0="0002009F" w:csb1="00000000"/>
  </w:font>
  <w:font w:name="Impact">
    <w:panose1 w:val="020B0806030902050204"/>
    <w:charset w:val="00"/>
    <w:family w:val="auto"/>
    <w:pitch w:val="variable"/>
    <w:sig w:usb0="00000287" w:usb1="00000000" w:usb2="00000000" w:usb3="00000000" w:csb0="0000009F" w:csb1="00000000"/>
  </w:font>
  <w:font w:name="Calibri Light">
    <w:panose1 w:val="020F0302020204030204"/>
    <w:charset w:val="00"/>
    <w:family w:val="auto"/>
    <w:pitch w:val="variable"/>
    <w:sig w:usb0="A00002EF" w:usb1="4000207B" w:usb2="00000000" w:usb3="00000000" w:csb0="0000019F" w:csb1="00000000"/>
  </w:font>
  <w:font w:name="Book Antiqua">
    <w:panose1 w:val="02040602050305030304"/>
    <w:charset w:val="00"/>
    <w:family w:val="auto"/>
    <w:pitch w:val="variable"/>
    <w:sig w:usb0="00000287" w:usb1="00000000" w:usb2="00000000" w:usb3="00000000" w:csb0="0000009F" w:csb1="00000000"/>
  </w:font>
  <w:font w:name="游明朝">
    <w:charset w:val="80"/>
    <w:family w:val="auto"/>
    <w:pitch w:val="variable"/>
    <w:sig w:usb0="800002E7" w:usb1="2AC7FCFF" w:usb2="00000012" w:usb3="00000000" w:csb0="0002009F" w:csb1="00000000"/>
  </w:font>
  <w:font w:name="MS Gothic">
    <w:panose1 w:val="020B06090702050802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Arial Black">
    <w:panose1 w:val="020B0A04020102020204"/>
    <w:charset w:val="00"/>
    <w:family w:val="auto"/>
    <w:pitch w:val="variable"/>
    <w:sig w:usb0="A00002AF" w:usb1="400078F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i/>
        <w:color w:val="0388A4"/>
        <w:sz w:val="22"/>
      </w:rPr>
      <w:id w:val="1326714595"/>
      <w:docPartObj>
        <w:docPartGallery w:val="Page Numbers (Bottom of Page)"/>
        <w:docPartUnique/>
      </w:docPartObj>
    </w:sdtPr>
    <w:sdtEndPr/>
    <w:sdtContent>
      <w:sdt>
        <w:sdtPr>
          <w:rPr>
            <w:rFonts w:ascii="Arial" w:hAnsi="Arial" w:cs="Arial"/>
            <w:i/>
            <w:color w:val="299390"/>
            <w:sz w:val="22"/>
          </w:rPr>
          <w:id w:val="1873340288"/>
          <w:docPartObj>
            <w:docPartGallery w:val="Page Numbers (Top of Page)"/>
            <w:docPartUnique/>
          </w:docPartObj>
        </w:sdtPr>
        <w:sdtEndPr>
          <w:rPr>
            <w:color w:val="0388A4"/>
          </w:rPr>
        </w:sdtEndPr>
        <w:sdtContent>
          <w:p w14:paraId="0B7E8479" w14:textId="0176B727" w:rsidR="00A25197" w:rsidRPr="007E3F03" w:rsidRDefault="00A25197" w:rsidP="005D37B5">
            <w:pPr>
              <w:pStyle w:val="Pieddepage"/>
              <w:tabs>
                <w:tab w:val="clear" w:pos="4536"/>
                <w:tab w:val="clear" w:pos="9072"/>
                <w:tab w:val="center" w:pos="6237"/>
                <w:tab w:val="right" w:pos="9356"/>
              </w:tabs>
              <w:ind w:right="-286" w:hanging="426"/>
              <w:jc w:val="right"/>
              <w:rPr>
                <w:rFonts w:ascii="Arial" w:hAnsi="Arial" w:cs="Arial"/>
                <w:i/>
                <w:color w:val="0388A4"/>
                <w:sz w:val="22"/>
              </w:rPr>
            </w:pPr>
            <w:r w:rsidRPr="007E3F03">
              <w:rPr>
                <w:rFonts w:ascii="Arial Black" w:hAnsi="Arial Black" w:cs="Arial"/>
                <w:b/>
                <w:color w:val="767171" w:themeColor="background2" w:themeShade="80"/>
                <w:sz w:val="18"/>
                <w:szCs w:val="18"/>
              </w:rPr>
              <w:t xml:space="preserve">P. </w:t>
            </w:r>
            <w:r w:rsidRPr="007E3F03">
              <w:rPr>
                <w:rFonts w:ascii="Arial Black" w:hAnsi="Arial Black" w:cs="Arial"/>
                <w:b/>
                <w:bCs/>
                <w:color w:val="767171" w:themeColor="background2" w:themeShade="80"/>
                <w:sz w:val="18"/>
                <w:szCs w:val="18"/>
              </w:rPr>
              <w:fldChar w:fldCharType="begin"/>
            </w:r>
            <w:r w:rsidRPr="007E3F03">
              <w:rPr>
                <w:rFonts w:ascii="Arial Black" w:hAnsi="Arial Black" w:cs="Arial"/>
                <w:b/>
                <w:bCs/>
                <w:color w:val="767171" w:themeColor="background2" w:themeShade="80"/>
                <w:sz w:val="18"/>
                <w:szCs w:val="18"/>
              </w:rPr>
              <w:instrText>PAGE</w:instrText>
            </w:r>
            <w:r w:rsidRPr="007E3F03">
              <w:rPr>
                <w:rFonts w:ascii="Arial Black" w:hAnsi="Arial Black" w:cs="Arial"/>
                <w:b/>
                <w:bCs/>
                <w:color w:val="767171" w:themeColor="background2" w:themeShade="80"/>
                <w:sz w:val="18"/>
                <w:szCs w:val="18"/>
              </w:rPr>
              <w:fldChar w:fldCharType="separate"/>
            </w:r>
            <w:r w:rsidR="00B869E0">
              <w:rPr>
                <w:rFonts w:ascii="Arial Black" w:hAnsi="Arial Black" w:cs="Arial"/>
                <w:b/>
                <w:bCs/>
                <w:noProof/>
                <w:color w:val="767171" w:themeColor="background2" w:themeShade="80"/>
                <w:sz w:val="18"/>
                <w:szCs w:val="18"/>
              </w:rPr>
              <w:t>8</w:t>
            </w:r>
            <w:r w:rsidRPr="007E3F03">
              <w:rPr>
                <w:rFonts w:ascii="Arial Black" w:hAnsi="Arial Black" w:cs="Arial"/>
                <w:b/>
                <w:bCs/>
                <w:color w:val="767171" w:themeColor="background2" w:themeShade="80"/>
                <w:sz w:val="18"/>
                <w:szCs w:val="18"/>
              </w:rPr>
              <w:fldChar w:fldCharType="end"/>
            </w:r>
            <w:r w:rsidRPr="007E3F03">
              <w:rPr>
                <w:rFonts w:ascii="Arial Black" w:hAnsi="Arial Black" w:cs="Arial"/>
                <w:b/>
                <w:bCs/>
                <w:color w:val="767171" w:themeColor="background2" w:themeShade="80"/>
                <w:sz w:val="18"/>
                <w:szCs w:val="18"/>
              </w:rPr>
              <w:t xml:space="preserve"> </w:t>
            </w:r>
            <w:r w:rsidRPr="007E3F03">
              <w:rPr>
                <w:rFonts w:ascii="Arial Black" w:hAnsi="Arial Black" w:cs="Arial"/>
                <w:b/>
                <w:color w:val="767171" w:themeColor="background2" w:themeShade="80"/>
                <w:sz w:val="18"/>
                <w:szCs w:val="18"/>
              </w:rPr>
              <w:t xml:space="preserve">/ </w:t>
            </w:r>
            <w:r w:rsidRPr="007E3F03">
              <w:rPr>
                <w:rFonts w:ascii="Arial Black" w:hAnsi="Arial Black" w:cs="Arial"/>
                <w:b/>
                <w:bCs/>
                <w:color w:val="767171" w:themeColor="background2" w:themeShade="80"/>
                <w:sz w:val="18"/>
                <w:szCs w:val="18"/>
              </w:rPr>
              <w:fldChar w:fldCharType="begin"/>
            </w:r>
            <w:r w:rsidRPr="007E3F03">
              <w:rPr>
                <w:rFonts w:ascii="Arial Black" w:hAnsi="Arial Black" w:cs="Arial"/>
                <w:b/>
                <w:bCs/>
                <w:color w:val="767171" w:themeColor="background2" w:themeShade="80"/>
                <w:sz w:val="18"/>
                <w:szCs w:val="18"/>
              </w:rPr>
              <w:instrText>NUMPAGES</w:instrText>
            </w:r>
            <w:r w:rsidRPr="007E3F03">
              <w:rPr>
                <w:rFonts w:ascii="Arial Black" w:hAnsi="Arial Black" w:cs="Arial"/>
                <w:b/>
                <w:bCs/>
                <w:color w:val="767171" w:themeColor="background2" w:themeShade="80"/>
                <w:sz w:val="18"/>
                <w:szCs w:val="18"/>
              </w:rPr>
              <w:fldChar w:fldCharType="separate"/>
            </w:r>
            <w:r w:rsidR="00B869E0">
              <w:rPr>
                <w:rFonts w:ascii="Arial Black" w:hAnsi="Arial Black" w:cs="Arial"/>
                <w:b/>
                <w:bCs/>
                <w:noProof/>
                <w:color w:val="767171" w:themeColor="background2" w:themeShade="80"/>
                <w:sz w:val="18"/>
                <w:szCs w:val="18"/>
              </w:rPr>
              <w:t>51</w:t>
            </w:r>
            <w:r w:rsidRPr="007E3F03">
              <w:rPr>
                <w:rFonts w:ascii="Arial Black" w:hAnsi="Arial Black" w:cs="Arial"/>
                <w:b/>
                <w:bCs/>
                <w:color w:val="767171" w:themeColor="background2" w:themeShade="80"/>
                <w:sz w:val="18"/>
                <w:szCs w:val="18"/>
              </w:rPr>
              <w:fldChar w:fldCharType="end"/>
            </w:r>
            <w:r w:rsidRPr="00C80AF6">
              <w:rPr>
                <w:rFonts w:ascii="Impact" w:hAnsi="Impact" w:cs="Arial"/>
                <w:color w:val="1F7283"/>
                <w:sz w:val="22"/>
              </w:rPr>
              <w:t xml:space="preserve"> </w:t>
            </w:r>
            <w:r>
              <w:rPr>
                <w:rFonts w:ascii="Impact" w:hAnsi="Impact" w:cs="Arial"/>
                <w:color w:val="1F7283"/>
                <w:sz w:val="22"/>
              </w:rPr>
              <w:tab/>
              <w:t xml:space="preserve">                  </w:t>
            </w:r>
            <w:r w:rsidR="005D37B5" w:rsidRPr="005D37B5">
              <w:rPr>
                <w:rFonts w:ascii="Tw Cen MT" w:hAnsi="Tw Cen MT" w:cs="Arial"/>
                <w:color w:val="833C0B" w:themeColor="accent2" w:themeShade="80"/>
                <w:sz w:val="20"/>
                <w:szCs w:val="20"/>
              </w:rPr>
              <w:t xml:space="preserve">Projet de stratégie nationale d’intégration </w:t>
            </w:r>
            <w:r>
              <w:rPr>
                <w:rFonts w:ascii="Tw Cen MT" w:hAnsi="Tw Cen MT" w:cs="Arial"/>
                <w:color w:val="833C0B" w:themeColor="accent2" w:themeShade="80"/>
                <w:sz w:val="20"/>
                <w:szCs w:val="20"/>
              </w:rPr>
              <w:t xml:space="preserve">- </w:t>
            </w:r>
            <w:r w:rsidRPr="00C80AF6">
              <w:rPr>
                <w:rFonts w:ascii="Impact" w:hAnsi="Impact" w:cs="Arial"/>
                <w:color w:val="1F7283"/>
                <w:sz w:val="22"/>
              </w:rPr>
              <w:t>MEPC/</w:t>
            </w:r>
            <w:r>
              <w:rPr>
                <w:rFonts w:ascii="Impact" w:hAnsi="Impact" w:cs="Arial"/>
                <w:color w:val="1F7283"/>
                <w:sz w:val="22"/>
              </w:rPr>
              <w:t>DGPPE/CSI</w:t>
            </w:r>
            <w:r w:rsidRPr="00D56BD9">
              <w:rPr>
                <w:rFonts w:ascii="Arial" w:hAnsi="Arial" w:cs="Arial"/>
                <w:i/>
                <w:color w:val="0388A4"/>
                <w:sz w:val="22"/>
              </w:rPr>
              <w:tab/>
            </w:r>
            <w:r>
              <w:rPr>
                <w:rFonts w:ascii="Arial" w:hAnsi="Arial" w:cs="Arial"/>
                <w:i/>
                <w:color w:val="0388A4"/>
                <w:sz w:val="22"/>
              </w:rPr>
              <w:t xml:space="preserve">   </w:t>
            </w:r>
            <w:r w:rsidRPr="00C80AF6">
              <w:rPr>
                <w:rFonts w:ascii="Arial" w:hAnsi="Arial" w:cs="Arial"/>
                <w:i/>
                <w:color w:val="299390"/>
                <w:sz w:val="22"/>
              </w:rPr>
              <w:t xml:space="preserve"> </w:t>
            </w:r>
          </w:p>
        </w:sdtContent>
      </w:sdt>
    </w:sdtContent>
  </w:sdt>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i/>
        <w:color w:val="0388A4"/>
        <w:sz w:val="22"/>
      </w:rPr>
      <w:id w:val="-2139565050"/>
      <w:docPartObj>
        <w:docPartGallery w:val="Page Numbers (Bottom of Page)"/>
        <w:docPartUnique/>
      </w:docPartObj>
    </w:sdtPr>
    <w:sdtEndPr/>
    <w:sdtContent>
      <w:sdt>
        <w:sdtPr>
          <w:rPr>
            <w:rFonts w:ascii="Arial" w:hAnsi="Arial" w:cs="Arial"/>
            <w:i/>
            <w:color w:val="299390"/>
            <w:sz w:val="22"/>
          </w:rPr>
          <w:id w:val="1606160025"/>
          <w:docPartObj>
            <w:docPartGallery w:val="Page Numbers (Top of Page)"/>
            <w:docPartUnique/>
          </w:docPartObj>
        </w:sdtPr>
        <w:sdtEndPr>
          <w:rPr>
            <w:color w:val="0388A4"/>
          </w:rPr>
        </w:sdtEndPr>
        <w:sdtContent>
          <w:p w14:paraId="632292FE" w14:textId="52290C7D" w:rsidR="00A25197" w:rsidRPr="00D56BD9" w:rsidRDefault="00A25197" w:rsidP="00C80AF6">
            <w:pPr>
              <w:pStyle w:val="Pieddepage"/>
              <w:tabs>
                <w:tab w:val="clear" w:pos="9072"/>
                <w:tab w:val="right" w:pos="9356"/>
              </w:tabs>
              <w:ind w:right="-286" w:hanging="426"/>
              <w:jc w:val="left"/>
              <w:rPr>
                <w:rFonts w:ascii="Arial" w:hAnsi="Arial" w:cs="Arial"/>
                <w:i/>
                <w:color w:val="0388A4"/>
                <w:sz w:val="22"/>
              </w:rPr>
            </w:pPr>
            <w:r w:rsidRPr="00C80AF6">
              <w:rPr>
                <w:rFonts w:ascii="Impact" w:hAnsi="Impact" w:cs="Arial"/>
                <w:color w:val="1F7283"/>
                <w:sz w:val="22"/>
              </w:rPr>
              <w:t>MEPC/</w:t>
            </w:r>
            <w:r>
              <w:rPr>
                <w:rFonts w:ascii="Impact" w:hAnsi="Impact" w:cs="Arial"/>
                <w:color w:val="1F7283"/>
                <w:sz w:val="22"/>
              </w:rPr>
              <w:t>DGPPE/CSI</w:t>
            </w:r>
            <w:r w:rsidRPr="00C80AF6">
              <w:rPr>
                <w:rFonts w:ascii="Impact" w:hAnsi="Impact" w:cs="Arial"/>
                <w:color w:val="1F7283"/>
                <w:sz w:val="22"/>
              </w:rPr>
              <w:t xml:space="preserve"> </w:t>
            </w:r>
            <w:r w:rsidRPr="007E3F03">
              <w:rPr>
                <w:rFonts w:ascii="Impact" w:hAnsi="Impact" w:cs="Arial"/>
                <w:color w:val="833C0B" w:themeColor="accent2" w:themeShade="80"/>
                <w:sz w:val="22"/>
              </w:rPr>
              <w:t>–</w:t>
            </w:r>
            <w:r w:rsidRPr="007E3F03">
              <w:rPr>
                <w:rFonts w:ascii="Impact" w:hAnsi="Impact" w:cs="Arial"/>
                <w:color w:val="833C0B" w:themeColor="accent2" w:themeShade="80"/>
                <w:szCs w:val="24"/>
              </w:rPr>
              <w:t xml:space="preserve"> </w:t>
            </w:r>
            <w:r w:rsidR="005D37B5">
              <w:rPr>
                <w:rFonts w:ascii="Tw Cen MT" w:hAnsi="Tw Cen MT" w:cs="Arial"/>
                <w:color w:val="833C0B" w:themeColor="accent2" w:themeShade="80"/>
                <w:sz w:val="20"/>
                <w:szCs w:val="20"/>
              </w:rPr>
              <w:t>P</w:t>
            </w:r>
            <w:r w:rsidR="005D37B5" w:rsidRPr="005D37B5">
              <w:rPr>
                <w:rFonts w:ascii="Tw Cen MT" w:hAnsi="Tw Cen MT" w:cs="Arial"/>
                <w:color w:val="833C0B" w:themeColor="accent2" w:themeShade="80"/>
                <w:sz w:val="20"/>
                <w:szCs w:val="20"/>
              </w:rPr>
              <w:t>rojet de stratégie nationale d’intégration</w:t>
            </w:r>
            <w:r w:rsidRPr="00D56BD9">
              <w:rPr>
                <w:rFonts w:ascii="Arial" w:hAnsi="Arial" w:cs="Arial"/>
                <w:i/>
                <w:color w:val="0388A4"/>
                <w:sz w:val="22"/>
              </w:rPr>
              <w:tab/>
            </w:r>
            <w:r>
              <w:rPr>
                <w:rFonts w:ascii="Arial" w:hAnsi="Arial" w:cs="Arial"/>
                <w:i/>
                <w:color w:val="0388A4"/>
                <w:sz w:val="22"/>
              </w:rPr>
              <w:t xml:space="preserve">   </w:t>
            </w:r>
            <w:r w:rsidRPr="00C80AF6">
              <w:rPr>
                <w:rFonts w:ascii="Arial" w:hAnsi="Arial" w:cs="Arial"/>
                <w:i/>
                <w:color w:val="299390"/>
                <w:sz w:val="22"/>
              </w:rPr>
              <w:t xml:space="preserve"> </w:t>
            </w:r>
            <w:r w:rsidRPr="007E3F03">
              <w:rPr>
                <w:rFonts w:ascii="Arial Black" w:hAnsi="Arial Black" w:cs="Arial"/>
                <w:b/>
                <w:color w:val="767171" w:themeColor="background2" w:themeShade="80"/>
                <w:sz w:val="18"/>
                <w:szCs w:val="18"/>
              </w:rPr>
              <w:t xml:space="preserve">P. </w:t>
            </w:r>
            <w:r w:rsidRPr="007E3F03">
              <w:rPr>
                <w:rFonts w:ascii="Arial Black" w:hAnsi="Arial Black" w:cs="Arial"/>
                <w:b/>
                <w:bCs/>
                <w:color w:val="767171" w:themeColor="background2" w:themeShade="80"/>
                <w:sz w:val="18"/>
                <w:szCs w:val="18"/>
              </w:rPr>
              <w:fldChar w:fldCharType="begin"/>
            </w:r>
            <w:r w:rsidRPr="007E3F03">
              <w:rPr>
                <w:rFonts w:ascii="Arial Black" w:hAnsi="Arial Black" w:cs="Arial"/>
                <w:b/>
                <w:bCs/>
                <w:color w:val="767171" w:themeColor="background2" w:themeShade="80"/>
                <w:sz w:val="18"/>
                <w:szCs w:val="18"/>
              </w:rPr>
              <w:instrText>PAGE</w:instrText>
            </w:r>
            <w:r w:rsidRPr="007E3F03">
              <w:rPr>
                <w:rFonts w:ascii="Arial Black" w:hAnsi="Arial Black" w:cs="Arial"/>
                <w:b/>
                <w:bCs/>
                <w:color w:val="767171" w:themeColor="background2" w:themeShade="80"/>
                <w:sz w:val="18"/>
                <w:szCs w:val="18"/>
              </w:rPr>
              <w:fldChar w:fldCharType="separate"/>
            </w:r>
            <w:r w:rsidR="00B869E0">
              <w:rPr>
                <w:rFonts w:ascii="Arial Black" w:hAnsi="Arial Black" w:cs="Arial"/>
                <w:b/>
                <w:bCs/>
                <w:noProof/>
                <w:color w:val="767171" w:themeColor="background2" w:themeShade="80"/>
                <w:sz w:val="18"/>
                <w:szCs w:val="18"/>
              </w:rPr>
              <w:t>9</w:t>
            </w:r>
            <w:r w:rsidRPr="007E3F03">
              <w:rPr>
                <w:rFonts w:ascii="Arial Black" w:hAnsi="Arial Black" w:cs="Arial"/>
                <w:b/>
                <w:bCs/>
                <w:color w:val="767171" w:themeColor="background2" w:themeShade="80"/>
                <w:sz w:val="18"/>
                <w:szCs w:val="18"/>
              </w:rPr>
              <w:fldChar w:fldCharType="end"/>
            </w:r>
            <w:r w:rsidRPr="007E3F03">
              <w:rPr>
                <w:rFonts w:ascii="Arial Black" w:hAnsi="Arial Black" w:cs="Arial"/>
                <w:b/>
                <w:bCs/>
                <w:color w:val="767171" w:themeColor="background2" w:themeShade="80"/>
                <w:sz w:val="18"/>
                <w:szCs w:val="18"/>
              </w:rPr>
              <w:t xml:space="preserve"> </w:t>
            </w:r>
            <w:r w:rsidRPr="007E3F03">
              <w:rPr>
                <w:rFonts w:ascii="Arial Black" w:hAnsi="Arial Black" w:cs="Arial"/>
                <w:b/>
                <w:color w:val="767171" w:themeColor="background2" w:themeShade="80"/>
                <w:sz w:val="18"/>
                <w:szCs w:val="18"/>
              </w:rPr>
              <w:t xml:space="preserve">/ </w:t>
            </w:r>
            <w:r w:rsidRPr="007E3F03">
              <w:rPr>
                <w:rFonts w:ascii="Arial Black" w:hAnsi="Arial Black" w:cs="Arial"/>
                <w:b/>
                <w:bCs/>
                <w:color w:val="767171" w:themeColor="background2" w:themeShade="80"/>
                <w:sz w:val="18"/>
                <w:szCs w:val="18"/>
              </w:rPr>
              <w:fldChar w:fldCharType="begin"/>
            </w:r>
            <w:r w:rsidRPr="007E3F03">
              <w:rPr>
                <w:rFonts w:ascii="Arial Black" w:hAnsi="Arial Black" w:cs="Arial"/>
                <w:b/>
                <w:bCs/>
                <w:color w:val="767171" w:themeColor="background2" w:themeShade="80"/>
                <w:sz w:val="18"/>
                <w:szCs w:val="18"/>
              </w:rPr>
              <w:instrText>NUMPAGES</w:instrText>
            </w:r>
            <w:r w:rsidRPr="007E3F03">
              <w:rPr>
                <w:rFonts w:ascii="Arial Black" w:hAnsi="Arial Black" w:cs="Arial"/>
                <w:b/>
                <w:bCs/>
                <w:color w:val="767171" w:themeColor="background2" w:themeShade="80"/>
                <w:sz w:val="18"/>
                <w:szCs w:val="18"/>
              </w:rPr>
              <w:fldChar w:fldCharType="separate"/>
            </w:r>
            <w:r w:rsidR="00B869E0">
              <w:rPr>
                <w:rFonts w:ascii="Arial Black" w:hAnsi="Arial Black" w:cs="Arial"/>
                <w:b/>
                <w:bCs/>
                <w:noProof/>
                <w:color w:val="767171" w:themeColor="background2" w:themeShade="80"/>
                <w:sz w:val="18"/>
                <w:szCs w:val="18"/>
              </w:rPr>
              <w:t>51</w:t>
            </w:r>
            <w:r w:rsidRPr="007E3F03">
              <w:rPr>
                <w:rFonts w:ascii="Arial Black" w:hAnsi="Arial Black" w:cs="Arial"/>
                <w:b/>
                <w:bCs/>
                <w:color w:val="767171" w:themeColor="background2" w:themeShade="80"/>
                <w:sz w:val="18"/>
                <w:szCs w:val="18"/>
              </w:rPr>
              <w:fldChar w:fldCharType="end"/>
            </w:r>
          </w:p>
        </w:sdtContent>
      </w:sdt>
    </w:sdtContent>
  </w:sdt>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EEA7EB" w14:textId="77777777" w:rsidR="005D37B5" w:rsidRDefault="005D37B5">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41CDF6" w14:textId="77777777" w:rsidR="00890DD7" w:rsidRDefault="00890DD7" w:rsidP="00370196">
      <w:pPr>
        <w:spacing w:after="0" w:line="240" w:lineRule="auto"/>
      </w:pPr>
      <w:r>
        <w:separator/>
      </w:r>
    </w:p>
  </w:footnote>
  <w:footnote w:type="continuationSeparator" w:id="0">
    <w:p w14:paraId="7DB8D9C7" w14:textId="77777777" w:rsidR="00890DD7" w:rsidRDefault="00890DD7" w:rsidP="00370196">
      <w:pPr>
        <w:spacing w:after="0" w:line="240" w:lineRule="auto"/>
      </w:pPr>
      <w:r>
        <w:continuationSeparator/>
      </w:r>
    </w:p>
  </w:footnote>
  <w:footnote w:id="1">
    <w:p w14:paraId="4249326B" w14:textId="35A6FD5D" w:rsidR="00A25197" w:rsidRDefault="00A25197" w:rsidP="005D7A52">
      <w:pPr>
        <w:pStyle w:val="Notedebasdepage"/>
      </w:pPr>
      <w:r w:rsidRPr="005D7A52">
        <w:rPr>
          <w:rStyle w:val="Appelnotedebasdep"/>
          <w:rFonts w:ascii="Tw Cen MT" w:hAnsi="Tw Cen MT"/>
        </w:rPr>
        <w:footnoteRef/>
      </w:r>
      <w:r w:rsidRPr="005D7A52">
        <w:rPr>
          <w:rFonts w:ascii="Tw Cen MT" w:hAnsi="Tw Cen MT"/>
        </w:rPr>
        <w:t xml:space="preserve"> Inflation : norme CEDEAO 5% / UEMOA 3%</w:t>
      </w:r>
    </w:p>
  </w:footnote>
  <w:footnote w:id="2">
    <w:p w14:paraId="0D1FF8A2" w14:textId="49A8A3DB" w:rsidR="00A25197" w:rsidRPr="005D7A52" w:rsidRDefault="00A25197" w:rsidP="005D7A52">
      <w:pPr>
        <w:pStyle w:val="Notedebasdepage"/>
        <w:rPr>
          <w:rFonts w:ascii="Tw Cen MT" w:hAnsi="Tw Cen MT"/>
        </w:rPr>
      </w:pPr>
      <w:r w:rsidRPr="005D7A52">
        <w:rPr>
          <w:rStyle w:val="Appelnotedebasdep"/>
          <w:rFonts w:ascii="Tw Cen MT" w:hAnsi="Tw Cen MT"/>
        </w:rPr>
        <w:footnoteRef/>
      </w:r>
    </w:p>
  </w:footnote>
  <w:footnote w:id="3">
    <w:p w14:paraId="3C61DEF5" w14:textId="77777777" w:rsidR="00A25197" w:rsidRPr="005D7A52" w:rsidRDefault="00A25197" w:rsidP="005D7A52">
      <w:pPr>
        <w:pStyle w:val="Notedebasdepage"/>
        <w:rPr>
          <w:rFonts w:ascii="Tw Cen MT" w:hAnsi="Tw Cen MT"/>
        </w:rPr>
      </w:pPr>
      <w:r w:rsidRPr="005D7A52">
        <w:rPr>
          <w:rStyle w:val="Appelnotedebasdep"/>
          <w:rFonts w:ascii="Tw Cen MT" w:hAnsi="Tw Cen MT"/>
        </w:rPr>
        <w:footnoteRef/>
      </w:r>
      <w:r w:rsidRPr="005D7A52">
        <w:rPr>
          <w:rFonts w:ascii="Tw Cen MT" w:hAnsi="Tw Cen MT"/>
        </w:rPr>
        <w:t xml:space="preserve"> Source Ansd</w:t>
      </w:r>
    </w:p>
  </w:footnote>
  <w:footnote w:id="4">
    <w:p w14:paraId="11B324CA" w14:textId="77777777" w:rsidR="00A25197" w:rsidRPr="005D7A52" w:rsidRDefault="00A25197" w:rsidP="005D7A52">
      <w:pPr>
        <w:pStyle w:val="Notedebasdepage"/>
        <w:rPr>
          <w:rFonts w:ascii="Tw Cen MT" w:hAnsi="Tw Cen MT"/>
        </w:rPr>
      </w:pPr>
      <w:r w:rsidRPr="005D7A52">
        <w:rPr>
          <w:rStyle w:val="Appelnotedebasdep"/>
          <w:rFonts w:ascii="Tw Cen MT" w:hAnsi="Tw Cen MT"/>
        </w:rPr>
        <w:footnoteRef/>
      </w:r>
      <w:r w:rsidRPr="005D7A52">
        <w:rPr>
          <w:rFonts w:ascii="Tw Cen MT" w:hAnsi="Tw Cen MT"/>
        </w:rPr>
        <w:t xml:space="preserve"> D’après les calculs de la DPEE</w:t>
      </w:r>
    </w:p>
  </w:footnote>
  <w:footnote w:id="5">
    <w:p w14:paraId="20970D4F" w14:textId="77777777" w:rsidR="00A25197" w:rsidRPr="00E10E19" w:rsidRDefault="00A25197" w:rsidP="005D7A52">
      <w:pPr>
        <w:pStyle w:val="Notedebasdepage"/>
        <w:rPr>
          <w:rFonts w:ascii="Tw Cen MT" w:hAnsi="Tw Cen MT"/>
        </w:rPr>
      </w:pPr>
      <w:r w:rsidRPr="00E10E19">
        <w:rPr>
          <w:rStyle w:val="Appelnotedebasdep"/>
          <w:rFonts w:ascii="Tw Cen MT" w:hAnsi="Tw Cen MT"/>
        </w:rPr>
        <w:footnoteRef/>
      </w:r>
      <w:r w:rsidRPr="00E10E19">
        <w:rPr>
          <w:rFonts w:ascii="Tw Cen MT" w:hAnsi="Tw Cen MT"/>
        </w:rPr>
        <w:t xml:space="preserve"> Il s’agit de la dette publique de l’administration centrale (hors sociétés parapubliques)</w:t>
      </w:r>
    </w:p>
  </w:footnote>
  <w:footnote w:id="6">
    <w:p w14:paraId="5DE664D1" w14:textId="77777777" w:rsidR="00A25197" w:rsidRDefault="00A25197" w:rsidP="005D7A52">
      <w:pPr>
        <w:pStyle w:val="Notedebasdepage"/>
      </w:pPr>
      <w:r w:rsidRPr="00E10E19">
        <w:rPr>
          <w:rStyle w:val="Appelnotedebasdep"/>
          <w:rFonts w:ascii="Tw Cen MT" w:hAnsi="Tw Cen MT"/>
        </w:rPr>
        <w:footnoteRef/>
      </w:r>
      <w:r w:rsidRPr="00E10E19">
        <w:rPr>
          <w:rFonts w:ascii="Tw Cen MT" w:hAnsi="Tw Cen MT"/>
        </w:rPr>
        <w:t xml:space="preserve"> Source DPEE</w:t>
      </w:r>
    </w:p>
  </w:footnote>
  <w:footnote w:id="7">
    <w:p w14:paraId="012E1568" w14:textId="27F57360" w:rsidR="00A25197" w:rsidRPr="00307323" w:rsidRDefault="00A25197" w:rsidP="00307323">
      <w:pPr>
        <w:pStyle w:val="Notedebasdepage"/>
        <w:jc w:val="left"/>
        <w:rPr>
          <w:rFonts w:ascii="Tw Cen MT" w:hAnsi="Tw Cen MT"/>
        </w:rPr>
      </w:pPr>
      <w:r w:rsidRPr="00307323">
        <w:rPr>
          <w:rStyle w:val="Appelnotedebasdep"/>
          <w:rFonts w:ascii="Tw Cen MT" w:hAnsi="Tw Cen MT"/>
        </w:rPr>
        <w:footnoteRef/>
      </w:r>
      <w:r>
        <w:rPr>
          <w:rFonts w:ascii="Tw Cen MT" w:hAnsi="Tw Cen MT"/>
        </w:rPr>
        <w:t xml:space="preserve"> </w:t>
      </w:r>
      <w:hyperlink r:id="rId1" w:history="1">
        <w:r w:rsidRPr="00307323">
          <w:rPr>
            <w:rStyle w:val="Lienhypertexte"/>
            <w:rFonts w:ascii="Tw Cen MT" w:hAnsi="Tw Cen MT"/>
          </w:rPr>
          <w:t>https://dalberg.com/our-ideas/promouvoir-un-developpement-industriel-inclusif-et-faire-du-senegal-un-pole-dinnovation</w:t>
        </w:r>
      </w:hyperlink>
      <w:r w:rsidRPr="00307323">
        <w:rPr>
          <w:rFonts w:ascii="Tw Cen MT" w:hAnsi="Tw Cen MT"/>
        </w:rPr>
        <w:t xml:space="preserve"> compétitif</w:t>
      </w:r>
    </w:p>
  </w:footnote>
  <w:footnote w:id="8">
    <w:p w14:paraId="5FF7DFB1" w14:textId="77777777" w:rsidR="00A25197" w:rsidRPr="006218FA" w:rsidRDefault="00A25197" w:rsidP="00613DF6">
      <w:pPr>
        <w:rPr>
          <w:rFonts w:ascii="Times New Roman" w:hAnsi="Times New Roman" w:cs="Times New Roman"/>
          <w:w w:val="105"/>
          <w:szCs w:val="24"/>
        </w:rPr>
      </w:pPr>
      <w:r>
        <w:rPr>
          <w:rStyle w:val="Appelnotedebasdep"/>
        </w:rPr>
        <w:footnoteRef/>
      </w:r>
      <w:r>
        <w:t xml:space="preserve"> </w:t>
      </w:r>
      <w:r w:rsidRPr="00F55C98">
        <w:rPr>
          <w:rFonts w:cstheme="minorHAnsi"/>
          <w:w w:val="105"/>
          <w:sz w:val="20"/>
          <w:szCs w:val="20"/>
        </w:rPr>
        <w:t xml:space="preserve">L’indice est composé de 19 indicateurs </w:t>
      </w:r>
      <w:r>
        <w:rPr>
          <w:rFonts w:cstheme="minorHAnsi"/>
          <w:w w:val="105"/>
          <w:sz w:val="20"/>
          <w:szCs w:val="20"/>
        </w:rPr>
        <w:t xml:space="preserve">qui </w:t>
      </w:r>
      <w:r w:rsidRPr="00F55C98">
        <w:rPr>
          <w:rFonts w:cstheme="minorHAnsi"/>
          <w:w w:val="105"/>
          <w:sz w:val="20"/>
          <w:szCs w:val="20"/>
        </w:rPr>
        <w:t>couvrent les performances manufacturières, le capital, la main-d’œuvre, l’environnement des affaires, les infrastructures et la stabilité macroéconomique. Dans ce cadre, une note est attribuée à chacun des pays étudiés sur une échelle qui va de 0 (moins bonne) à 1 (meilleure).</w:t>
      </w:r>
    </w:p>
    <w:p w14:paraId="434D69E2" w14:textId="77777777" w:rsidR="00A25197" w:rsidRDefault="00A25197" w:rsidP="00613DF6">
      <w:pPr>
        <w:pStyle w:val="Notedebasdepage"/>
      </w:pPr>
    </w:p>
  </w:footnote>
  <w:footnote w:id="9">
    <w:p w14:paraId="6666C0AF" w14:textId="77FB9E6B" w:rsidR="00A25197" w:rsidRPr="00307323" w:rsidRDefault="00A25197" w:rsidP="00307323">
      <w:pPr>
        <w:pStyle w:val="Notedebasdepage"/>
        <w:rPr>
          <w:rFonts w:ascii="Tw Cen MT" w:hAnsi="Tw Cen MT"/>
        </w:rPr>
      </w:pPr>
      <w:r w:rsidRPr="00307323">
        <w:rPr>
          <w:rStyle w:val="Appelnotedebasdep"/>
          <w:rFonts w:ascii="Tw Cen MT" w:hAnsi="Tw Cen MT"/>
        </w:rPr>
        <w:footnoteRef/>
      </w:r>
      <w:r>
        <w:rPr>
          <w:rFonts w:ascii="Tw Cen MT" w:hAnsi="Tw Cen MT"/>
        </w:rPr>
        <w:t xml:space="preserve"> </w:t>
      </w:r>
      <w:r w:rsidRPr="00307323">
        <w:rPr>
          <w:rFonts w:ascii="Tw Cen MT" w:hAnsi="Tw Cen MT"/>
        </w:rPr>
        <w:t xml:space="preserve">The world Fackbook, 2017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C10B68" w14:textId="77777777" w:rsidR="005D37B5" w:rsidRDefault="005D37B5">
    <w:pPr>
      <w:pStyle w:val="En-tt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9BC99" w14:textId="77777777" w:rsidR="005D37B5" w:rsidRDefault="005D37B5">
    <w:pPr>
      <w:pStyle w:val="En-tt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54CAE2" w14:textId="77777777" w:rsidR="005D37B5" w:rsidRDefault="005D37B5">
    <w:pPr>
      <w:pStyle w:val="En-tt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B17A5"/>
    <w:multiLevelType w:val="hybridMultilevel"/>
    <w:tmpl w:val="A43C19AA"/>
    <w:lvl w:ilvl="0" w:tplc="7AA0D5EA">
      <w:start w:val="1"/>
      <w:numFmt w:val="bullet"/>
      <w:lvlText w:val=""/>
      <w:lvlJc w:val="left"/>
      <w:pPr>
        <w:ind w:left="360" w:hanging="360"/>
      </w:pPr>
      <w:rPr>
        <w:rFonts w:ascii="Symbol" w:hAnsi="Symbol" w:hint="default"/>
        <w:color w:val="3B3838" w:themeColor="background2" w:themeShade="40"/>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03410A5E"/>
    <w:multiLevelType w:val="hybridMultilevel"/>
    <w:tmpl w:val="883A9FD4"/>
    <w:lvl w:ilvl="0" w:tplc="040C000F">
      <w:start w:val="5"/>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37F5DF8"/>
    <w:multiLevelType w:val="multilevel"/>
    <w:tmpl w:val="9AE49DA4"/>
    <w:lvl w:ilvl="0">
      <w:start w:val="1"/>
      <w:numFmt w:val="upperRoman"/>
      <w:lvlText w:val="%1."/>
      <w:lvlJc w:val="right"/>
      <w:pPr>
        <w:ind w:left="180" w:hanging="180"/>
      </w:pPr>
      <w:rPr>
        <w:rFonts w:hint="default"/>
        <w:b/>
        <w:bCs/>
        <w:color w:val="auto"/>
        <w:w w:val="85"/>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b/>
        <w:bCs/>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nsid w:val="087F2257"/>
    <w:multiLevelType w:val="hybridMultilevel"/>
    <w:tmpl w:val="17BE34C4"/>
    <w:lvl w:ilvl="0" w:tplc="611E527A">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nsid w:val="13E1601A"/>
    <w:multiLevelType w:val="hybridMultilevel"/>
    <w:tmpl w:val="1BF29616"/>
    <w:lvl w:ilvl="0" w:tplc="7AA0D5EA">
      <w:start w:val="1"/>
      <w:numFmt w:val="bullet"/>
      <w:lvlText w:val=""/>
      <w:lvlJc w:val="left"/>
      <w:pPr>
        <w:ind w:left="720" w:hanging="360"/>
      </w:pPr>
      <w:rPr>
        <w:rFonts w:ascii="Symbol" w:hAnsi="Symbol" w:hint="default"/>
        <w:b w:val="0"/>
        <w:color w:val="3B3838" w:themeColor="background2" w:themeShade="40"/>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4C02D67"/>
    <w:multiLevelType w:val="hybridMultilevel"/>
    <w:tmpl w:val="E75C4E94"/>
    <w:lvl w:ilvl="0" w:tplc="7AA0D5EA">
      <w:start w:val="1"/>
      <w:numFmt w:val="bullet"/>
      <w:lvlText w:val=""/>
      <w:lvlJc w:val="left"/>
      <w:pPr>
        <w:ind w:left="720" w:hanging="360"/>
      </w:pPr>
      <w:rPr>
        <w:rFonts w:ascii="Symbol" w:hAnsi="Symbol" w:hint="default"/>
        <w:color w:val="3B3838" w:themeColor="background2" w:themeShade="4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70F62AE"/>
    <w:multiLevelType w:val="hybridMultilevel"/>
    <w:tmpl w:val="B198A37E"/>
    <w:lvl w:ilvl="0" w:tplc="D2746730">
      <w:numFmt w:val="bullet"/>
      <w:lvlText w:val="-"/>
      <w:lvlJc w:val="left"/>
      <w:pPr>
        <w:ind w:left="720" w:hanging="360"/>
      </w:pPr>
      <w:rPr>
        <w:rFonts w:ascii="Tahoma" w:eastAsia="Tahoma"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86C2A0A"/>
    <w:multiLevelType w:val="hybridMultilevel"/>
    <w:tmpl w:val="FD8806C4"/>
    <w:lvl w:ilvl="0" w:tplc="D2746730">
      <w:numFmt w:val="bullet"/>
      <w:lvlText w:val="-"/>
      <w:lvlJc w:val="left"/>
      <w:pPr>
        <w:ind w:left="720" w:hanging="360"/>
      </w:pPr>
      <w:rPr>
        <w:rFonts w:ascii="Tahoma" w:eastAsia="Tahoma"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A1A0877"/>
    <w:multiLevelType w:val="hybridMultilevel"/>
    <w:tmpl w:val="EC7A8878"/>
    <w:lvl w:ilvl="0" w:tplc="3438B0FC">
      <w:numFmt w:val="bullet"/>
      <w:lvlText w:val="-"/>
      <w:lvlJc w:val="left"/>
      <w:pPr>
        <w:ind w:left="720" w:hanging="360"/>
      </w:pPr>
      <w:rPr>
        <w:rFonts w:ascii="Tahoma" w:eastAsia="Tahoma" w:hAnsi="Tahoma" w:cs="Tahoma"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nsid w:val="1DF0485F"/>
    <w:multiLevelType w:val="hybridMultilevel"/>
    <w:tmpl w:val="2D12551E"/>
    <w:lvl w:ilvl="0" w:tplc="279CE510">
      <w:numFmt w:val="bullet"/>
      <w:lvlText w:val="-"/>
      <w:lvlJc w:val="left"/>
      <w:pPr>
        <w:ind w:left="720" w:hanging="360"/>
      </w:pPr>
      <w:rPr>
        <w:rFonts w:ascii="Calibri" w:eastAsiaTheme="minorHAnsi" w:hAnsi="Calibri" w:cs="Calibri" w:hint="default"/>
        <w:b w:val="0"/>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EA12E29"/>
    <w:multiLevelType w:val="hybridMultilevel"/>
    <w:tmpl w:val="301CFF92"/>
    <w:lvl w:ilvl="0" w:tplc="7AA0D5EA">
      <w:start w:val="1"/>
      <w:numFmt w:val="bullet"/>
      <w:lvlText w:val=""/>
      <w:lvlJc w:val="left"/>
      <w:pPr>
        <w:ind w:left="360" w:hanging="360"/>
      </w:pPr>
      <w:rPr>
        <w:rFonts w:ascii="Symbol" w:hAnsi="Symbol" w:hint="default"/>
        <w:color w:val="3B3838" w:themeColor="background2" w:themeShade="40"/>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nsid w:val="23D84E1E"/>
    <w:multiLevelType w:val="hybridMultilevel"/>
    <w:tmpl w:val="42E22656"/>
    <w:lvl w:ilvl="0" w:tplc="F35A4934">
      <w:start w:val="2"/>
      <w:numFmt w:val="bullet"/>
      <w:lvlText w:val="-"/>
      <w:lvlJc w:val="left"/>
      <w:pPr>
        <w:ind w:left="1004" w:hanging="360"/>
      </w:pPr>
      <w:rPr>
        <w:rFonts w:ascii="Times New Roman" w:eastAsia="Tahoma" w:hAnsi="Times New Roman" w:cs="Times New Roman"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2">
    <w:nsid w:val="2482573C"/>
    <w:multiLevelType w:val="hybridMultilevel"/>
    <w:tmpl w:val="61A67B2A"/>
    <w:lvl w:ilvl="0" w:tplc="D2746730">
      <w:numFmt w:val="bullet"/>
      <w:lvlText w:val="-"/>
      <w:lvlJc w:val="left"/>
      <w:pPr>
        <w:ind w:left="720" w:hanging="360"/>
      </w:pPr>
      <w:rPr>
        <w:rFonts w:ascii="Tahoma" w:eastAsia="Tahoma"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922412A"/>
    <w:multiLevelType w:val="hybridMultilevel"/>
    <w:tmpl w:val="4784138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nsid w:val="2C44676B"/>
    <w:multiLevelType w:val="hybridMultilevel"/>
    <w:tmpl w:val="627E008C"/>
    <w:lvl w:ilvl="0" w:tplc="92BEEBBA">
      <w:start w:val="1"/>
      <w:numFmt w:val="bullet"/>
      <w:lvlText w:val=""/>
      <w:lvlJc w:val="left"/>
      <w:pPr>
        <w:ind w:left="720" w:hanging="360"/>
      </w:pPr>
      <w:rPr>
        <w:rFonts w:ascii="Symbol" w:hAnsi="Symbol" w:hint="default"/>
        <w:color w:val="3B3838" w:themeColor="background2" w:themeShade="40"/>
        <w:sz w:val="4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E9B1FB6"/>
    <w:multiLevelType w:val="hybridMultilevel"/>
    <w:tmpl w:val="A49442D4"/>
    <w:lvl w:ilvl="0" w:tplc="040C0001">
      <w:start w:val="1"/>
      <w:numFmt w:val="bullet"/>
      <w:lvlText w:val=""/>
      <w:lvlJc w:val="left"/>
      <w:pPr>
        <w:ind w:left="1713" w:hanging="360"/>
      </w:pPr>
      <w:rPr>
        <w:rFonts w:ascii="Symbol" w:hAnsi="Symbol" w:hint="default"/>
      </w:rPr>
    </w:lvl>
    <w:lvl w:ilvl="1" w:tplc="040C0003" w:tentative="1">
      <w:start w:val="1"/>
      <w:numFmt w:val="bullet"/>
      <w:lvlText w:val="o"/>
      <w:lvlJc w:val="left"/>
      <w:pPr>
        <w:ind w:left="2433" w:hanging="360"/>
      </w:pPr>
      <w:rPr>
        <w:rFonts w:ascii="Courier New" w:hAnsi="Courier New" w:cs="Courier New" w:hint="default"/>
      </w:rPr>
    </w:lvl>
    <w:lvl w:ilvl="2" w:tplc="040C0005" w:tentative="1">
      <w:start w:val="1"/>
      <w:numFmt w:val="bullet"/>
      <w:lvlText w:val=""/>
      <w:lvlJc w:val="left"/>
      <w:pPr>
        <w:ind w:left="3153" w:hanging="360"/>
      </w:pPr>
      <w:rPr>
        <w:rFonts w:ascii="Wingdings" w:hAnsi="Wingdings" w:hint="default"/>
      </w:rPr>
    </w:lvl>
    <w:lvl w:ilvl="3" w:tplc="040C0001" w:tentative="1">
      <w:start w:val="1"/>
      <w:numFmt w:val="bullet"/>
      <w:lvlText w:val=""/>
      <w:lvlJc w:val="left"/>
      <w:pPr>
        <w:ind w:left="3873" w:hanging="360"/>
      </w:pPr>
      <w:rPr>
        <w:rFonts w:ascii="Symbol" w:hAnsi="Symbol" w:hint="default"/>
      </w:rPr>
    </w:lvl>
    <w:lvl w:ilvl="4" w:tplc="040C0003" w:tentative="1">
      <w:start w:val="1"/>
      <w:numFmt w:val="bullet"/>
      <w:lvlText w:val="o"/>
      <w:lvlJc w:val="left"/>
      <w:pPr>
        <w:ind w:left="4593" w:hanging="360"/>
      </w:pPr>
      <w:rPr>
        <w:rFonts w:ascii="Courier New" w:hAnsi="Courier New" w:cs="Courier New" w:hint="default"/>
      </w:rPr>
    </w:lvl>
    <w:lvl w:ilvl="5" w:tplc="040C0005" w:tentative="1">
      <w:start w:val="1"/>
      <w:numFmt w:val="bullet"/>
      <w:lvlText w:val=""/>
      <w:lvlJc w:val="left"/>
      <w:pPr>
        <w:ind w:left="5313" w:hanging="360"/>
      </w:pPr>
      <w:rPr>
        <w:rFonts w:ascii="Wingdings" w:hAnsi="Wingdings" w:hint="default"/>
      </w:rPr>
    </w:lvl>
    <w:lvl w:ilvl="6" w:tplc="040C0001" w:tentative="1">
      <w:start w:val="1"/>
      <w:numFmt w:val="bullet"/>
      <w:lvlText w:val=""/>
      <w:lvlJc w:val="left"/>
      <w:pPr>
        <w:ind w:left="6033" w:hanging="360"/>
      </w:pPr>
      <w:rPr>
        <w:rFonts w:ascii="Symbol" w:hAnsi="Symbol" w:hint="default"/>
      </w:rPr>
    </w:lvl>
    <w:lvl w:ilvl="7" w:tplc="040C0003" w:tentative="1">
      <w:start w:val="1"/>
      <w:numFmt w:val="bullet"/>
      <w:lvlText w:val="o"/>
      <w:lvlJc w:val="left"/>
      <w:pPr>
        <w:ind w:left="6753" w:hanging="360"/>
      </w:pPr>
      <w:rPr>
        <w:rFonts w:ascii="Courier New" w:hAnsi="Courier New" w:cs="Courier New" w:hint="default"/>
      </w:rPr>
    </w:lvl>
    <w:lvl w:ilvl="8" w:tplc="040C0005" w:tentative="1">
      <w:start w:val="1"/>
      <w:numFmt w:val="bullet"/>
      <w:lvlText w:val=""/>
      <w:lvlJc w:val="left"/>
      <w:pPr>
        <w:ind w:left="7473" w:hanging="360"/>
      </w:pPr>
      <w:rPr>
        <w:rFonts w:ascii="Wingdings" w:hAnsi="Wingdings" w:hint="default"/>
      </w:rPr>
    </w:lvl>
  </w:abstractNum>
  <w:abstractNum w:abstractNumId="16">
    <w:nsid w:val="313A3A9F"/>
    <w:multiLevelType w:val="multilevel"/>
    <w:tmpl w:val="500A0F9C"/>
    <w:lvl w:ilvl="0">
      <w:start w:val="5"/>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32C90BC3"/>
    <w:multiLevelType w:val="hybridMultilevel"/>
    <w:tmpl w:val="97EA7904"/>
    <w:lvl w:ilvl="0" w:tplc="611E527A">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nsid w:val="330F0D59"/>
    <w:multiLevelType w:val="hybridMultilevel"/>
    <w:tmpl w:val="FB9409AE"/>
    <w:lvl w:ilvl="0" w:tplc="D2746730">
      <w:numFmt w:val="bullet"/>
      <w:lvlText w:val="-"/>
      <w:lvlJc w:val="left"/>
      <w:pPr>
        <w:ind w:left="717" w:hanging="360"/>
      </w:pPr>
      <w:rPr>
        <w:rFonts w:ascii="Tahoma" w:eastAsia="Tahoma" w:hAnsi="Tahoma" w:cs="Tahoma" w:hint="default"/>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19">
    <w:nsid w:val="337E29F8"/>
    <w:multiLevelType w:val="multilevel"/>
    <w:tmpl w:val="8954F74A"/>
    <w:lvl w:ilvl="0">
      <w:start w:val="6"/>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396509F7"/>
    <w:multiLevelType w:val="hybridMultilevel"/>
    <w:tmpl w:val="075A51CC"/>
    <w:lvl w:ilvl="0" w:tplc="7AA0D5EA">
      <w:start w:val="1"/>
      <w:numFmt w:val="bullet"/>
      <w:lvlText w:val=""/>
      <w:lvlJc w:val="left"/>
      <w:pPr>
        <w:ind w:left="720" w:hanging="360"/>
      </w:pPr>
      <w:rPr>
        <w:rFonts w:ascii="Symbol" w:hAnsi="Symbol" w:hint="default"/>
        <w:color w:val="3B3838" w:themeColor="background2" w:themeShade="40"/>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3F915C0E"/>
    <w:multiLevelType w:val="hybridMultilevel"/>
    <w:tmpl w:val="D150820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41B46256"/>
    <w:multiLevelType w:val="hybridMultilevel"/>
    <w:tmpl w:val="DAE8731E"/>
    <w:lvl w:ilvl="0" w:tplc="057A8B7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487C7BCE"/>
    <w:multiLevelType w:val="hybridMultilevel"/>
    <w:tmpl w:val="D99E027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48E66D40"/>
    <w:multiLevelType w:val="multilevel"/>
    <w:tmpl w:val="E1225106"/>
    <w:lvl w:ilvl="0">
      <w:start w:val="6"/>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495349F4"/>
    <w:multiLevelType w:val="hybridMultilevel"/>
    <w:tmpl w:val="B00A044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
    <w:nsid w:val="49881981"/>
    <w:multiLevelType w:val="multilevel"/>
    <w:tmpl w:val="5F2ED4B4"/>
    <w:lvl w:ilvl="0">
      <w:start w:val="6"/>
      <w:numFmt w:val="decimal"/>
      <w:lvlText w:val="%1"/>
      <w:lvlJc w:val="left"/>
      <w:pPr>
        <w:ind w:left="530" w:hanging="530"/>
      </w:pPr>
      <w:rPr>
        <w:rFonts w:hint="default"/>
      </w:rPr>
    </w:lvl>
    <w:lvl w:ilvl="1">
      <w:start w:val="1"/>
      <w:numFmt w:val="decimal"/>
      <w:lvlText w:val="%1.%2"/>
      <w:lvlJc w:val="left"/>
      <w:pPr>
        <w:ind w:left="890" w:hanging="53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7">
    <w:nsid w:val="4AAD0447"/>
    <w:multiLevelType w:val="hybridMultilevel"/>
    <w:tmpl w:val="7E889362"/>
    <w:lvl w:ilvl="0" w:tplc="7AA0D5EA">
      <w:start w:val="1"/>
      <w:numFmt w:val="bullet"/>
      <w:lvlText w:val=""/>
      <w:lvlJc w:val="left"/>
      <w:pPr>
        <w:ind w:left="720" w:hanging="360"/>
      </w:pPr>
      <w:rPr>
        <w:rFonts w:ascii="Symbol" w:hAnsi="Symbol" w:hint="default"/>
        <w:color w:val="3B3838" w:themeColor="background2" w:themeShade="4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8">
    <w:nsid w:val="4C51013F"/>
    <w:multiLevelType w:val="hybridMultilevel"/>
    <w:tmpl w:val="FA7885D0"/>
    <w:lvl w:ilvl="0" w:tplc="7AA0D5EA">
      <w:start w:val="1"/>
      <w:numFmt w:val="bullet"/>
      <w:lvlText w:val=""/>
      <w:lvlJc w:val="left"/>
      <w:pPr>
        <w:ind w:left="720" w:hanging="360"/>
      </w:pPr>
      <w:rPr>
        <w:rFonts w:ascii="Symbol" w:hAnsi="Symbol" w:hint="default"/>
        <w:color w:val="3B3838" w:themeColor="background2" w:themeShade="4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510D2F20"/>
    <w:multiLevelType w:val="hybridMultilevel"/>
    <w:tmpl w:val="4402677A"/>
    <w:lvl w:ilvl="0" w:tplc="7AA0D5EA">
      <w:start w:val="1"/>
      <w:numFmt w:val="bullet"/>
      <w:lvlText w:val=""/>
      <w:lvlJc w:val="left"/>
      <w:pPr>
        <w:ind w:left="360" w:hanging="360"/>
      </w:pPr>
      <w:rPr>
        <w:rFonts w:ascii="Symbol" w:hAnsi="Symbol" w:hint="default"/>
        <w:color w:val="3B3838" w:themeColor="background2" w:themeShade="40"/>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0">
    <w:nsid w:val="532A3B0B"/>
    <w:multiLevelType w:val="hybridMultilevel"/>
    <w:tmpl w:val="CE40245C"/>
    <w:lvl w:ilvl="0" w:tplc="7AA0D5EA">
      <w:start w:val="1"/>
      <w:numFmt w:val="bullet"/>
      <w:lvlText w:val=""/>
      <w:lvlJc w:val="left"/>
      <w:pPr>
        <w:ind w:left="720" w:hanging="360"/>
      </w:pPr>
      <w:rPr>
        <w:rFonts w:ascii="Symbol" w:hAnsi="Symbol" w:hint="default"/>
        <w:color w:val="3B3838" w:themeColor="background2" w:themeShade="4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1">
    <w:nsid w:val="5A7A3332"/>
    <w:multiLevelType w:val="hybridMultilevel"/>
    <w:tmpl w:val="3D66CA6C"/>
    <w:lvl w:ilvl="0" w:tplc="D2746730">
      <w:numFmt w:val="bullet"/>
      <w:lvlText w:val="-"/>
      <w:lvlJc w:val="left"/>
      <w:pPr>
        <w:ind w:left="720" w:hanging="360"/>
      </w:pPr>
      <w:rPr>
        <w:rFonts w:ascii="Tahoma" w:eastAsia="Tahoma" w:hAnsi="Tahoma" w:cs="Tahoma"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2">
    <w:nsid w:val="5D8F1089"/>
    <w:multiLevelType w:val="hybridMultilevel"/>
    <w:tmpl w:val="99FAB882"/>
    <w:lvl w:ilvl="0" w:tplc="040C000D">
      <w:start w:val="1"/>
      <w:numFmt w:val="bullet"/>
      <w:lvlText w:val=""/>
      <w:lvlJc w:val="left"/>
      <w:pPr>
        <w:ind w:left="1004" w:hanging="360"/>
      </w:pPr>
      <w:rPr>
        <w:rFonts w:ascii="Wingdings" w:hAnsi="Wingding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33">
    <w:nsid w:val="5DFA0D69"/>
    <w:multiLevelType w:val="multilevel"/>
    <w:tmpl w:val="E3387DE6"/>
    <w:styleLink w:val="Listeactuelle1"/>
    <w:lvl w:ilvl="0">
      <w:start w:val="1"/>
      <w:numFmt w:val="decimal"/>
      <w:lvlText w:val="%1"/>
      <w:lvlJc w:val="left"/>
      <w:pPr>
        <w:ind w:left="432" w:hanging="432"/>
      </w:pPr>
      <w:rPr>
        <w:rFonts w:hint="default"/>
        <w:color w:val="auto"/>
        <w:w w:val="85"/>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b/>
        <w:bCs/>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4">
    <w:nsid w:val="607E0FB7"/>
    <w:multiLevelType w:val="hybridMultilevel"/>
    <w:tmpl w:val="03704776"/>
    <w:lvl w:ilvl="0" w:tplc="D2746730">
      <w:numFmt w:val="bullet"/>
      <w:lvlText w:val="-"/>
      <w:lvlJc w:val="left"/>
      <w:pPr>
        <w:ind w:left="720" w:hanging="360"/>
      </w:pPr>
      <w:rPr>
        <w:rFonts w:ascii="Tahoma" w:eastAsia="Tahoma"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60D2181D"/>
    <w:multiLevelType w:val="hybridMultilevel"/>
    <w:tmpl w:val="B1C6A64E"/>
    <w:lvl w:ilvl="0" w:tplc="7AA0D5EA">
      <w:start w:val="1"/>
      <w:numFmt w:val="bullet"/>
      <w:lvlText w:val=""/>
      <w:lvlJc w:val="left"/>
      <w:pPr>
        <w:ind w:left="360" w:hanging="360"/>
      </w:pPr>
      <w:rPr>
        <w:rFonts w:ascii="Symbol" w:hAnsi="Symbol" w:hint="default"/>
        <w:color w:val="3B3838" w:themeColor="background2" w:themeShade="40"/>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nsid w:val="657C0D73"/>
    <w:multiLevelType w:val="hybridMultilevel"/>
    <w:tmpl w:val="B060ED78"/>
    <w:lvl w:ilvl="0" w:tplc="F35A4934">
      <w:start w:val="2"/>
      <w:numFmt w:val="bullet"/>
      <w:lvlText w:val="-"/>
      <w:lvlJc w:val="left"/>
      <w:pPr>
        <w:ind w:left="720" w:hanging="360"/>
      </w:pPr>
      <w:rPr>
        <w:rFonts w:ascii="Times New Roman" w:eastAsia="Tahom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7">
    <w:nsid w:val="65D15C1D"/>
    <w:multiLevelType w:val="hybridMultilevel"/>
    <w:tmpl w:val="1020EF32"/>
    <w:lvl w:ilvl="0" w:tplc="7AA0D5EA">
      <w:start w:val="1"/>
      <w:numFmt w:val="bullet"/>
      <w:lvlText w:val=""/>
      <w:lvlJc w:val="left"/>
      <w:pPr>
        <w:ind w:left="360" w:hanging="360"/>
      </w:pPr>
      <w:rPr>
        <w:rFonts w:ascii="Symbol" w:hAnsi="Symbol" w:hint="default"/>
        <w:color w:val="3B3838" w:themeColor="background2" w:themeShade="4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nsid w:val="69AC4414"/>
    <w:multiLevelType w:val="hybridMultilevel"/>
    <w:tmpl w:val="ED56A4BC"/>
    <w:lvl w:ilvl="0" w:tplc="7AA0D5EA">
      <w:start w:val="1"/>
      <w:numFmt w:val="bullet"/>
      <w:lvlText w:val=""/>
      <w:lvlJc w:val="left"/>
      <w:pPr>
        <w:ind w:left="720" w:hanging="360"/>
      </w:pPr>
      <w:rPr>
        <w:rFonts w:ascii="Symbol" w:hAnsi="Symbol" w:hint="default"/>
        <w:color w:val="3B3838" w:themeColor="background2" w:themeShade="4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69D72D60"/>
    <w:multiLevelType w:val="hybridMultilevel"/>
    <w:tmpl w:val="D49E2CF8"/>
    <w:lvl w:ilvl="0" w:tplc="7AA0D5EA">
      <w:start w:val="1"/>
      <w:numFmt w:val="bullet"/>
      <w:lvlText w:val=""/>
      <w:lvlJc w:val="left"/>
      <w:pPr>
        <w:ind w:left="360" w:hanging="360"/>
      </w:pPr>
      <w:rPr>
        <w:rFonts w:ascii="Symbol" w:hAnsi="Symbol" w:hint="default"/>
        <w:color w:val="3B3838" w:themeColor="background2" w:themeShade="40"/>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0">
    <w:nsid w:val="6A86573A"/>
    <w:multiLevelType w:val="hybridMultilevel"/>
    <w:tmpl w:val="1D44F9DC"/>
    <w:lvl w:ilvl="0" w:tplc="D2746730">
      <w:numFmt w:val="bullet"/>
      <w:lvlText w:val="-"/>
      <w:lvlJc w:val="left"/>
      <w:pPr>
        <w:ind w:left="927" w:hanging="360"/>
      </w:pPr>
      <w:rPr>
        <w:rFonts w:ascii="Tahoma" w:eastAsia="Tahoma" w:hAnsi="Tahoma" w:cs="Tahoma"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41">
    <w:nsid w:val="751B5009"/>
    <w:multiLevelType w:val="hybridMultilevel"/>
    <w:tmpl w:val="C6623566"/>
    <w:lvl w:ilvl="0" w:tplc="F35A4934">
      <w:start w:val="2"/>
      <w:numFmt w:val="bullet"/>
      <w:lvlText w:val="-"/>
      <w:lvlJc w:val="left"/>
      <w:pPr>
        <w:ind w:left="720" w:hanging="360"/>
      </w:pPr>
      <w:rPr>
        <w:rFonts w:ascii="Times New Roman" w:eastAsia="Tahom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2">
    <w:nsid w:val="7A3B7329"/>
    <w:multiLevelType w:val="hybridMultilevel"/>
    <w:tmpl w:val="5F129B1E"/>
    <w:lvl w:ilvl="0" w:tplc="D2746730">
      <w:numFmt w:val="bullet"/>
      <w:lvlText w:val="-"/>
      <w:lvlJc w:val="left"/>
      <w:pPr>
        <w:ind w:left="720" w:hanging="360"/>
      </w:pPr>
      <w:rPr>
        <w:rFonts w:ascii="Tahoma" w:eastAsia="Tahoma"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7BDB5F91"/>
    <w:multiLevelType w:val="hybridMultilevel"/>
    <w:tmpl w:val="1548BC4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28"/>
  </w:num>
  <w:num w:numId="2">
    <w:abstractNumId w:val="13"/>
  </w:num>
  <w:num w:numId="3">
    <w:abstractNumId w:val="35"/>
  </w:num>
  <w:num w:numId="4">
    <w:abstractNumId w:val="0"/>
  </w:num>
  <w:num w:numId="5">
    <w:abstractNumId w:val="39"/>
  </w:num>
  <w:num w:numId="6">
    <w:abstractNumId w:val="29"/>
  </w:num>
  <w:num w:numId="7">
    <w:abstractNumId w:val="10"/>
  </w:num>
  <w:num w:numId="8">
    <w:abstractNumId w:val="37"/>
  </w:num>
  <w:num w:numId="9">
    <w:abstractNumId w:val="43"/>
  </w:num>
  <w:num w:numId="10">
    <w:abstractNumId w:val="25"/>
  </w:num>
  <w:num w:numId="11">
    <w:abstractNumId w:val="14"/>
  </w:num>
  <w:num w:numId="12">
    <w:abstractNumId w:val="31"/>
  </w:num>
  <w:num w:numId="13">
    <w:abstractNumId w:val="41"/>
  </w:num>
  <w:num w:numId="14">
    <w:abstractNumId w:val="8"/>
  </w:num>
  <w:num w:numId="15">
    <w:abstractNumId w:val="36"/>
  </w:num>
  <w:num w:numId="16">
    <w:abstractNumId w:val="3"/>
  </w:num>
  <w:num w:numId="17">
    <w:abstractNumId w:val="17"/>
  </w:num>
  <w:num w:numId="18">
    <w:abstractNumId w:val="36"/>
  </w:num>
  <w:num w:numId="19">
    <w:abstractNumId w:val="30"/>
  </w:num>
  <w:num w:numId="20">
    <w:abstractNumId w:val="38"/>
  </w:num>
  <w:num w:numId="21">
    <w:abstractNumId w:val="3"/>
  </w:num>
  <w:num w:numId="22">
    <w:abstractNumId w:val="27"/>
  </w:num>
  <w:num w:numId="23">
    <w:abstractNumId w:val="22"/>
  </w:num>
  <w:num w:numId="24">
    <w:abstractNumId w:val="9"/>
  </w:num>
  <w:num w:numId="25">
    <w:abstractNumId w:val="23"/>
  </w:num>
  <w:num w:numId="26">
    <w:abstractNumId w:val="32"/>
  </w:num>
  <w:num w:numId="27">
    <w:abstractNumId w:val="21"/>
  </w:num>
  <w:num w:numId="28">
    <w:abstractNumId w:val="20"/>
  </w:num>
  <w:num w:numId="29">
    <w:abstractNumId w:val="4"/>
  </w:num>
  <w:num w:numId="30">
    <w:abstractNumId w:val="5"/>
  </w:num>
  <w:num w:numId="31">
    <w:abstractNumId w:val="40"/>
  </w:num>
  <w:num w:numId="32">
    <w:abstractNumId w:val="42"/>
  </w:num>
  <w:num w:numId="33">
    <w:abstractNumId w:val="7"/>
  </w:num>
  <w:num w:numId="34">
    <w:abstractNumId w:val="18"/>
  </w:num>
  <w:num w:numId="35">
    <w:abstractNumId w:val="6"/>
  </w:num>
  <w:num w:numId="36">
    <w:abstractNumId w:val="2"/>
  </w:num>
  <w:num w:numId="37">
    <w:abstractNumId w:val="19"/>
  </w:num>
  <w:num w:numId="38">
    <w:abstractNumId w:val="26"/>
  </w:num>
  <w:num w:numId="39">
    <w:abstractNumId w:val="24"/>
  </w:num>
  <w:num w:numId="40">
    <w:abstractNumId w:val="1"/>
  </w:num>
  <w:num w:numId="41">
    <w:abstractNumId w:val="16"/>
  </w:num>
  <w:num w:numId="42">
    <w:abstractNumId w:val="11"/>
  </w:num>
  <w:num w:numId="43">
    <w:abstractNumId w:val="33"/>
  </w:num>
  <w:num w:numId="44">
    <w:abstractNumId w:val="12"/>
  </w:num>
  <w:num w:numId="45">
    <w:abstractNumId w:val="34"/>
  </w:num>
  <w:num w:numId="46">
    <w:abstractNumId w:val="1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31E"/>
    <w:rsid w:val="000042B7"/>
    <w:rsid w:val="00005F8D"/>
    <w:rsid w:val="00040A99"/>
    <w:rsid w:val="000436CC"/>
    <w:rsid w:val="000507EA"/>
    <w:rsid w:val="00055E49"/>
    <w:rsid w:val="0005796A"/>
    <w:rsid w:val="00070D7F"/>
    <w:rsid w:val="00070FFD"/>
    <w:rsid w:val="00072D0F"/>
    <w:rsid w:val="000771A6"/>
    <w:rsid w:val="00077EC9"/>
    <w:rsid w:val="000906B5"/>
    <w:rsid w:val="0009332F"/>
    <w:rsid w:val="00093AE1"/>
    <w:rsid w:val="000959D7"/>
    <w:rsid w:val="0009659F"/>
    <w:rsid w:val="000A5323"/>
    <w:rsid w:val="000B3948"/>
    <w:rsid w:val="000B75AD"/>
    <w:rsid w:val="000E368D"/>
    <w:rsid w:val="000F05E6"/>
    <w:rsid w:val="000F277A"/>
    <w:rsid w:val="000F351D"/>
    <w:rsid w:val="000F6A86"/>
    <w:rsid w:val="000F73D8"/>
    <w:rsid w:val="00100B2D"/>
    <w:rsid w:val="00101E01"/>
    <w:rsid w:val="001032E4"/>
    <w:rsid w:val="00103E8A"/>
    <w:rsid w:val="001133E4"/>
    <w:rsid w:val="001141C0"/>
    <w:rsid w:val="00114C15"/>
    <w:rsid w:val="00116154"/>
    <w:rsid w:val="00124E69"/>
    <w:rsid w:val="001374E1"/>
    <w:rsid w:val="00137B51"/>
    <w:rsid w:val="0014230E"/>
    <w:rsid w:val="00143B34"/>
    <w:rsid w:val="00150118"/>
    <w:rsid w:val="001512F6"/>
    <w:rsid w:val="0015479F"/>
    <w:rsid w:val="001640FF"/>
    <w:rsid w:val="00170516"/>
    <w:rsid w:val="00174629"/>
    <w:rsid w:val="00184C0E"/>
    <w:rsid w:val="00187D41"/>
    <w:rsid w:val="00195F87"/>
    <w:rsid w:val="001A311E"/>
    <w:rsid w:val="001B005A"/>
    <w:rsid w:val="001B2347"/>
    <w:rsid w:val="001B3747"/>
    <w:rsid w:val="001C6737"/>
    <w:rsid w:val="001D1A34"/>
    <w:rsid w:val="001D438F"/>
    <w:rsid w:val="001E7988"/>
    <w:rsid w:val="001F05A1"/>
    <w:rsid w:val="001F5399"/>
    <w:rsid w:val="001F6C06"/>
    <w:rsid w:val="002016AE"/>
    <w:rsid w:val="00201D34"/>
    <w:rsid w:val="002033B2"/>
    <w:rsid w:val="00205002"/>
    <w:rsid w:val="00205409"/>
    <w:rsid w:val="00206513"/>
    <w:rsid w:val="00213081"/>
    <w:rsid w:val="00223F95"/>
    <w:rsid w:val="00230C39"/>
    <w:rsid w:val="0023292F"/>
    <w:rsid w:val="00240D52"/>
    <w:rsid w:val="00247FBC"/>
    <w:rsid w:val="0025192F"/>
    <w:rsid w:val="002549C4"/>
    <w:rsid w:val="00257B6A"/>
    <w:rsid w:val="00262F9B"/>
    <w:rsid w:val="00265DD4"/>
    <w:rsid w:val="002769FD"/>
    <w:rsid w:val="00280B30"/>
    <w:rsid w:val="002860C0"/>
    <w:rsid w:val="002922C5"/>
    <w:rsid w:val="00295697"/>
    <w:rsid w:val="002B4C19"/>
    <w:rsid w:val="002B56FD"/>
    <w:rsid w:val="002C6989"/>
    <w:rsid w:val="002C6A8F"/>
    <w:rsid w:val="002D2521"/>
    <w:rsid w:val="002E1D43"/>
    <w:rsid w:val="002E67B6"/>
    <w:rsid w:val="002E7843"/>
    <w:rsid w:val="002F0A45"/>
    <w:rsid w:val="002F5B82"/>
    <w:rsid w:val="00306A6F"/>
    <w:rsid w:val="00307323"/>
    <w:rsid w:val="00307AEB"/>
    <w:rsid w:val="003143D6"/>
    <w:rsid w:val="003161F5"/>
    <w:rsid w:val="00324278"/>
    <w:rsid w:val="00327BF5"/>
    <w:rsid w:val="003318A2"/>
    <w:rsid w:val="0034326C"/>
    <w:rsid w:val="003437D9"/>
    <w:rsid w:val="0034692F"/>
    <w:rsid w:val="003544FB"/>
    <w:rsid w:val="003560A2"/>
    <w:rsid w:val="00362573"/>
    <w:rsid w:val="00363948"/>
    <w:rsid w:val="00370196"/>
    <w:rsid w:val="00370D8E"/>
    <w:rsid w:val="00373081"/>
    <w:rsid w:val="0037741A"/>
    <w:rsid w:val="00384199"/>
    <w:rsid w:val="00392B8F"/>
    <w:rsid w:val="003A1DFC"/>
    <w:rsid w:val="003A288B"/>
    <w:rsid w:val="003B02A7"/>
    <w:rsid w:val="003B3746"/>
    <w:rsid w:val="003B3FA3"/>
    <w:rsid w:val="003B5EE7"/>
    <w:rsid w:val="003B7889"/>
    <w:rsid w:val="003C0BEE"/>
    <w:rsid w:val="003C355D"/>
    <w:rsid w:val="003C5526"/>
    <w:rsid w:val="003C614B"/>
    <w:rsid w:val="003E00AA"/>
    <w:rsid w:val="003E1718"/>
    <w:rsid w:val="003E2CAC"/>
    <w:rsid w:val="003E4CBA"/>
    <w:rsid w:val="003F310C"/>
    <w:rsid w:val="003F3DA8"/>
    <w:rsid w:val="003F45F6"/>
    <w:rsid w:val="003F55C6"/>
    <w:rsid w:val="003F796C"/>
    <w:rsid w:val="00400BFB"/>
    <w:rsid w:val="00400FC3"/>
    <w:rsid w:val="0042176C"/>
    <w:rsid w:val="00435F9D"/>
    <w:rsid w:val="00441468"/>
    <w:rsid w:val="004433C7"/>
    <w:rsid w:val="004549D8"/>
    <w:rsid w:val="00460078"/>
    <w:rsid w:val="00476360"/>
    <w:rsid w:val="00481792"/>
    <w:rsid w:val="004827AB"/>
    <w:rsid w:val="00485B2D"/>
    <w:rsid w:val="004908F7"/>
    <w:rsid w:val="0049140E"/>
    <w:rsid w:val="00491F54"/>
    <w:rsid w:val="00494E73"/>
    <w:rsid w:val="004A0E32"/>
    <w:rsid w:val="004A1B70"/>
    <w:rsid w:val="004A1C65"/>
    <w:rsid w:val="004A5ADB"/>
    <w:rsid w:val="004B3227"/>
    <w:rsid w:val="004B58AC"/>
    <w:rsid w:val="004C1AC2"/>
    <w:rsid w:val="004D46B1"/>
    <w:rsid w:val="004D7237"/>
    <w:rsid w:val="004E76A7"/>
    <w:rsid w:val="004F6817"/>
    <w:rsid w:val="004F7BEB"/>
    <w:rsid w:val="00503C95"/>
    <w:rsid w:val="00506404"/>
    <w:rsid w:val="0051753C"/>
    <w:rsid w:val="005208C3"/>
    <w:rsid w:val="00524E48"/>
    <w:rsid w:val="005313C4"/>
    <w:rsid w:val="00533D58"/>
    <w:rsid w:val="0054293F"/>
    <w:rsid w:val="00546DE4"/>
    <w:rsid w:val="005523F9"/>
    <w:rsid w:val="00556EAA"/>
    <w:rsid w:val="00563CB3"/>
    <w:rsid w:val="0057415B"/>
    <w:rsid w:val="005743D3"/>
    <w:rsid w:val="00577E95"/>
    <w:rsid w:val="00591B6C"/>
    <w:rsid w:val="00592890"/>
    <w:rsid w:val="00595360"/>
    <w:rsid w:val="0059595A"/>
    <w:rsid w:val="005A1741"/>
    <w:rsid w:val="005A688B"/>
    <w:rsid w:val="005C0D01"/>
    <w:rsid w:val="005C2D16"/>
    <w:rsid w:val="005C3570"/>
    <w:rsid w:val="005D00FF"/>
    <w:rsid w:val="005D3205"/>
    <w:rsid w:val="005D37B5"/>
    <w:rsid w:val="005D3F82"/>
    <w:rsid w:val="005D69F9"/>
    <w:rsid w:val="005D6EB8"/>
    <w:rsid w:val="005D7A52"/>
    <w:rsid w:val="005D7F65"/>
    <w:rsid w:val="005E0EFF"/>
    <w:rsid w:val="005E1F00"/>
    <w:rsid w:val="005E2186"/>
    <w:rsid w:val="005E3A2D"/>
    <w:rsid w:val="005F0AFB"/>
    <w:rsid w:val="005F0D8D"/>
    <w:rsid w:val="005F0F15"/>
    <w:rsid w:val="005F4456"/>
    <w:rsid w:val="00601C13"/>
    <w:rsid w:val="0060640D"/>
    <w:rsid w:val="006138CE"/>
    <w:rsid w:val="00613DF6"/>
    <w:rsid w:val="00615816"/>
    <w:rsid w:val="006235DF"/>
    <w:rsid w:val="006408DA"/>
    <w:rsid w:val="00640B43"/>
    <w:rsid w:val="006568AC"/>
    <w:rsid w:val="00657103"/>
    <w:rsid w:val="0066049D"/>
    <w:rsid w:val="0067397D"/>
    <w:rsid w:val="0067422F"/>
    <w:rsid w:val="00675D6F"/>
    <w:rsid w:val="006802AE"/>
    <w:rsid w:val="00683A47"/>
    <w:rsid w:val="00687809"/>
    <w:rsid w:val="006935FD"/>
    <w:rsid w:val="00696CF7"/>
    <w:rsid w:val="006A6843"/>
    <w:rsid w:val="006B09AC"/>
    <w:rsid w:val="006B7BF6"/>
    <w:rsid w:val="006C65A2"/>
    <w:rsid w:val="006C7D96"/>
    <w:rsid w:val="006D20A2"/>
    <w:rsid w:val="006D459F"/>
    <w:rsid w:val="006D6614"/>
    <w:rsid w:val="006E1FC0"/>
    <w:rsid w:val="006E31F9"/>
    <w:rsid w:val="006E785C"/>
    <w:rsid w:val="006F08CC"/>
    <w:rsid w:val="006F6C1F"/>
    <w:rsid w:val="00742EF2"/>
    <w:rsid w:val="00747147"/>
    <w:rsid w:val="00762CD1"/>
    <w:rsid w:val="00774D20"/>
    <w:rsid w:val="007759A7"/>
    <w:rsid w:val="0077672F"/>
    <w:rsid w:val="007861A9"/>
    <w:rsid w:val="007875AA"/>
    <w:rsid w:val="00794F65"/>
    <w:rsid w:val="007A0A31"/>
    <w:rsid w:val="007A3506"/>
    <w:rsid w:val="007B135D"/>
    <w:rsid w:val="007B7705"/>
    <w:rsid w:val="007C56D7"/>
    <w:rsid w:val="007D0115"/>
    <w:rsid w:val="007D2A58"/>
    <w:rsid w:val="007D765C"/>
    <w:rsid w:val="007D7C3E"/>
    <w:rsid w:val="007E3F03"/>
    <w:rsid w:val="007F3113"/>
    <w:rsid w:val="007F54CE"/>
    <w:rsid w:val="008018B7"/>
    <w:rsid w:val="008028D9"/>
    <w:rsid w:val="0080403F"/>
    <w:rsid w:val="00817703"/>
    <w:rsid w:val="00824D58"/>
    <w:rsid w:val="008274BE"/>
    <w:rsid w:val="008277DA"/>
    <w:rsid w:val="00830CA9"/>
    <w:rsid w:val="00831FB8"/>
    <w:rsid w:val="00842A9B"/>
    <w:rsid w:val="00843526"/>
    <w:rsid w:val="00847980"/>
    <w:rsid w:val="00850159"/>
    <w:rsid w:val="00851F40"/>
    <w:rsid w:val="00853B74"/>
    <w:rsid w:val="0085464C"/>
    <w:rsid w:val="00862C7D"/>
    <w:rsid w:val="0086421D"/>
    <w:rsid w:val="00867E2D"/>
    <w:rsid w:val="008871D3"/>
    <w:rsid w:val="00890DD7"/>
    <w:rsid w:val="008966AB"/>
    <w:rsid w:val="00897C28"/>
    <w:rsid w:val="008A4354"/>
    <w:rsid w:val="008B59E2"/>
    <w:rsid w:val="008B5F1E"/>
    <w:rsid w:val="008B646A"/>
    <w:rsid w:val="008C0A09"/>
    <w:rsid w:val="008C256C"/>
    <w:rsid w:val="008C5528"/>
    <w:rsid w:val="008C6E2C"/>
    <w:rsid w:val="008D1359"/>
    <w:rsid w:val="008D2E9C"/>
    <w:rsid w:val="008D3E63"/>
    <w:rsid w:val="008D6FC6"/>
    <w:rsid w:val="008E181B"/>
    <w:rsid w:val="008F156B"/>
    <w:rsid w:val="008F3E33"/>
    <w:rsid w:val="008F5AE8"/>
    <w:rsid w:val="00901D8C"/>
    <w:rsid w:val="009039B8"/>
    <w:rsid w:val="00903B4A"/>
    <w:rsid w:val="00903DA6"/>
    <w:rsid w:val="0091098C"/>
    <w:rsid w:val="00912E18"/>
    <w:rsid w:val="009160EC"/>
    <w:rsid w:val="00927B21"/>
    <w:rsid w:val="00940277"/>
    <w:rsid w:val="00940C74"/>
    <w:rsid w:val="00947AD8"/>
    <w:rsid w:val="00952FA9"/>
    <w:rsid w:val="00971D9D"/>
    <w:rsid w:val="00983073"/>
    <w:rsid w:val="00984AAC"/>
    <w:rsid w:val="00984D0B"/>
    <w:rsid w:val="00986747"/>
    <w:rsid w:val="009A009F"/>
    <w:rsid w:val="009D3A33"/>
    <w:rsid w:val="009D6A26"/>
    <w:rsid w:val="009F0C32"/>
    <w:rsid w:val="009F58B2"/>
    <w:rsid w:val="009F703C"/>
    <w:rsid w:val="00A0114A"/>
    <w:rsid w:val="00A012FB"/>
    <w:rsid w:val="00A0715A"/>
    <w:rsid w:val="00A225D6"/>
    <w:rsid w:val="00A25197"/>
    <w:rsid w:val="00A45310"/>
    <w:rsid w:val="00A50C28"/>
    <w:rsid w:val="00A56795"/>
    <w:rsid w:val="00A61E63"/>
    <w:rsid w:val="00A678F2"/>
    <w:rsid w:val="00A731E8"/>
    <w:rsid w:val="00A77C17"/>
    <w:rsid w:val="00A82F56"/>
    <w:rsid w:val="00A8360E"/>
    <w:rsid w:val="00A87475"/>
    <w:rsid w:val="00A93E53"/>
    <w:rsid w:val="00A95C2E"/>
    <w:rsid w:val="00A977EC"/>
    <w:rsid w:val="00AA24CF"/>
    <w:rsid w:val="00AA2FB4"/>
    <w:rsid w:val="00AB186F"/>
    <w:rsid w:val="00AC4FDF"/>
    <w:rsid w:val="00AD756E"/>
    <w:rsid w:val="00AE0986"/>
    <w:rsid w:val="00AE5B94"/>
    <w:rsid w:val="00AF5E42"/>
    <w:rsid w:val="00B040BB"/>
    <w:rsid w:val="00B1036B"/>
    <w:rsid w:val="00B14B70"/>
    <w:rsid w:val="00B168A8"/>
    <w:rsid w:val="00B21AF4"/>
    <w:rsid w:val="00B235F3"/>
    <w:rsid w:val="00B407EE"/>
    <w:rsid w:val="00B40CC1"/>
    <w:rsid w:val="00B43A98"/>
    <w:rsid w:val="00B51805"/>
    <w:rsid w:val="00B615B6"/>
    <w:rsid w:val="00B61B87"/>
    <w:rsid w:val="00B71BF2"/>
    <w:rsid w:val="00B75FC9"/>
    <w:rsid w:val="00B82D69"/>
    <w:rsid w:val="00B869E0"/>
    <w:rsid w:val="00BA1000"/>
    <w:rsid w:val="00BA2FC7"/>
    <w:rsid w:val="00BD14DC"/>
    <w:rsid w:val="00BD478B"/>
    <w:rsid w:val="00BD723F"/>
    <w:rsid w:val="00BD7609"/>
    <w:rsid w:val="00BE022A"/>
    <w:rsid w:val="00BE0609"/>
    <w:rsid w:val="00BE1D9A"/>
    <w:rsid w:val="00BE3B37"/>
    <w:rsid w:val="00BE3E58"/>
    <w:rsid w:val="00BE55B7"/>
    <w:rsid w:val="00BF7764"/>
    <w:rsid w:val="00C029BA"/>
    <w:rsid w:val="00C02EED"/>
    <w:rsid w:val="00C075BB"/>
    <w:rsid w:val="00C13F0E"/>
    <w:rsid w:val="00C1488E"/>
    <w:rsid w:val="00C17295"/>
    <w:rsid w:val="00C20BEE"/>
    <w:rsid w:val="00C3264A"/>
    <w:rsid w:val="00C32B65"/>
    <w:rsid w:val="00C32D88"/>
    <w:rsid w:val="00C33F96"/>
    <w:rsid w:val="00C37814"/>
    <w:rsid w:val="00C443E1"/>
    <w:rsid w:val="00C52474"/>
    <w:rsid w:val="00C56789"/>
    <w:rsid w:val="00C675DA"/>
    <w:rsid w:val="00C67A7E"/>
    <w:rsid w:val="00C72D31"/>
    <w:rsid w:val="00C7492E"/>
    <w:rsid w:val="00C74D99"/>
    <w:rsid w:val="00C7640A"/>
    <w:rsid w:val="00C77018"/>
    <w:rsid w:val="00C80205"/>
    <w:rsid w:val="00C80AF6"/>
    <w:rsid w:val="00C920D3"/>
    <w:rsid w:val="00C95A9C"/>
    <w:rsid w:val="00CA6463"/>
    <w:rsid w:val="00CA6FBF"/>
    <w:rsid w:val="00CA7990"/>
    <w:rsid w:val="00CB0B9A"/>
    <w:rsid w:val="00CB46BE"/>
    <w:rsid w:val="00CB5664"/>
    <w:rsid w:val="00CB79BC"/>
    <w:rsid w:val="00CE23F7"/>
    <w:rsid w:val="00CE66AD"/>
    <w:rsid w:val="00CE79AE"/>
    <w:rsid w:val="00CF0179"/>
    <w:rsid w:val="00CF08E4"/>
    <w:rsid w:val="00CF4AD7"/>
    <w:rsid w:val="00CF6085"/>
    <w:rsid w:val="00CF731E"/>
    <w:rsid w:val="00D00591"/>
    <w:rsid w:val="00D13ED7"/>
    <w:rsid w:val="00D17861"/>
    <w:rsid w:val="00D2315D"/>
    <w:rsid w:val="00D23873"/>
    <w:rsid w:val="00D23F30"/>
    <w:rsid w:val="00D24330"/>
    <w:rsid w:val="00D30A7C"/>
    <w:rsid w:val="00D32B86"/>
    <w:rsid w:val="00D348DC"/>
    <w:rsid w:val="00D3751A"/>
    <w:rsid w:val="00D4244B"/>
    <w:rsid w:val="00D44DBE"/>
    <w:rsid w:val="00D45B1C"/>
    <w:rsid w:val="00D45B5C"/>
    <w:rsid w:val="00D46658"/>
    <w:rsid w:val="00D56BD9"/>
    <w:rsid w:val="00D661B4"/>
    <w:rsid w:val="00D94D96"/>
    <w:rsid w:val="00DA1EAD"/>
    <w:rsid w:val="00DA242A"/>
    <w:rsid w:val="00DA2726"/>
    <w:rsid w:val="00DA38B4"/>
    <w:rsid w:val="00DA52DD"/>
    <w:rsid w:val="00DB7908"/>
    <w:rsid w:val="00DC3002"/>
    <w:rsid w:val="00DC6759"/>
    <w:rsid w:val="00DD36F9"/>
    <w:rsid w:val="00DE5DE3"/>
    <w:rsid w:val="00DF2190"/>
    <w:rsid w:val="00DF60F4"/>
    <w:rsid w:val="00DF6706"/>
    <w:rsid w:val="00DF7229"/>
    <w:rsid w:val="00E00A63"/>
    <w:rsid w:val="00E02813"/>
    <w:rsid w:val="00E10E19"/>
    <w:rsid w:val="00E13835"/>
    <w:rsid w:val="00E31AB8"/>
    <w:rsid w:val="00E36694"/>
    <w:rsid w:val="00E471B3"/>
    <w:rsid w:val="00E531EA"/>
    <w:rsid w:val="00E615AF"/>
    <w:rsid w:val="00E61DE6"/>
    <w:rsid w:val="00E7591D"/>
    <w:rsid w:val="00E8414A"/>
    <w:rsid w:val="00EA0782"/>
    <w:rsid w:val="00EA1DA3"/>
    <w:rsid w:val="00EA3CC0"/>
    <w:rsid w:val="00EA598D"/>
    <w:rsid w:val="00EA72FA"/>
    <w:rsid w:val="00EB0996"/>
    <w:rsid w:val="00EB1A52"/>
    <w:rsid w:val="00EB3447"/>
    <w:rsid w:val="00EB4CFF"/>
    <w:rsid w:val="00EB62C3"/>
    <w:rsid w:val="00EC5C73"/>
    <w:rsid w:val="00EC7150"/>
    <w:rsid w:val="00EC71D6"/>
    <w:rsid w:val="00ED0C38"/>
    <w:rsid w:val="00EE0855"/>
    <w:rsid w:val="00EE6D50"/>
    <w:rsid w:val="00EF00AB"/>
    <w:rsid w:val="00EF6B16"/>
    <w:rsid w:val="00F061DA"/>
    <w:rsid w:val="00F073FB"/>
    <w:rsid w:val="00F10E38"/>
    <w:rsid w:val="00F135EF"/>
    <w:rsid w:val="00F13B72"/>
    <w:rsid w:val="00F145E7"/>
    <w:rsid w:val="00F17906"/>
    <w:rsid w:val="00F245E3"/>
    <w:rsid w:val="00F27824"/>
    <w:rsid w:val="00F35060"/>
    <w:rsid w:val="00F404BF"/>
    <w:rsid w:val="00F476DD"/>
    <w:rsid w:val="00F51048"/>
    <w:rsid w:val="00F55AE3"/>
    <w:rsid w:val="00F56030"/>
    <w:rsid w:val="00F6011C"/>
    <w:rsid w:val="00F632F5"/>
    <w:rsid w:val="00F633A6"/>
    <w:rsid w:val="00F64599"/>
    <w:rsid w:val="00F6606C"/>
    <w:rsid w:val="00F706B9"/>
    <w:rsid w:val="00F72138"/>
    <w:rsid w:val="00F745DB"/>
    <w:rsid w:val="00F75ED9"/>
    <w:rsid w:val="00F76367"/>
    <w:rsid w:val="00F85B57"/>
    <w:rsid w:val="00F91B0D"/>
    <w:rsid w:val="00F92B77"/>
    <w:rsid w:val="00F95BDE"/>
    <w:rsid w:val="00F95E46"/>
    <w:rsid w:val="00F96279"/>
    <w:rsid w:val="00FA2129"/>
    <w:rsid w:val="00FA3619"/>
    <w:rsid w:val="00FB0CF6"/>
    <w:rsid w:val="00FB36EB"/>
    <w:rsid w:val="00FB4CC3"/>
    <w:rsid w:val="00FC2505"/>
    <w:rsid w:val="00FC3997"/>
    <w:rsid w:val="00FD3B44"/>
    <w:rsid w:val="00FD4086"/>
    <w:rsid w:val="00FD4629"/>
    <w:rsid w:val="00FD55B4"/>
    <w:rsid w:val="00FD57F6"/>
    <w:rsid w:val="00FD676E"/>
    <w:rsid w:val="00FE3894"/>
    <w:rsid w:val="00FE4657"/>
    <w:rsid w:val="00FE4DD6"/>
    <w:rsid w:val="00FE5013"/>
    <w:rsid w:val="00FE7B38"/>
    <w:rsid w:val="00FF30BB"/>
    <w:rsid w:val="00FF4CFA"/>
    <w:rsid w:val="00FF6FBE"/>
    <w:rsid w:val="00FF7757"/>
  </w:rsids>
  <m:mathPr>
    <m:mathFont m:val="Cambria Math"/>
    <m:brkBin m:val="before"/>
    <m:brkBinSub m:val="--"/>
    <m:smallFrac m:val="0"/>
    <m:dispDef/>
    <m:lMargin m:val="0"/>
    <m:rMargin m:val="0"/>
    <m:defJc m:val="centerGroup"/>
    <m:wrapIndent m:val="1440"/>
    <m:intLim m:val="subSup"/>
    <m:naryLim m:val="undOvr"/>
  </m:mathPr>
  <w:themeFontLang w:val="fr-FR"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CA58F33"/>
  <w15:chartTrackingRefBased/>
  <w15:docId w15:val="{D47EEB43-1AB3-4CD3-B878-0AF5315D7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E3F03"/>
    <w:pPr>
      <w:spacing w:after="120" w:line="276" w:lineRule="auto"/>
      <w:jc w:val="both"/>
    </w:pPr>
    <w:rPr>
      <w:rFonts w:ascii="Tw Cen MT" w:hAnsi="Tw Cen MT"/>
      <w:sz w:val="24"/>
    </w:rPr>
  </w:style>
  <w:style w:type="paragraph" w:styleId="Titre1">
    <w:name w:val="heading 1"/>
    <w:basedOn w:val="Normal"/>
    <w:next w:val="Normal"/>
    <w:link w:val="Titre1Car"/>
    <w:uiPriority w:val="9"/>
    <w:qFormat/>
    <w:rsid w:val="00441468"/>
    <w:pPr>
      <w:keepNext/>
      <w:keepLines/>
      <w:spacing w:after="400" w:line="240" w:lineRule="auto"/>
      <w:jc w:val="right"/>
      <w:outlineLvl w:val="0"/>
    </w:pPr>
    <w:rPr>
      <w:rFonts w:ascii="Tahoma" w:eastAsiaTheme="majorEastAsia" w:hAnsi="Tahoma" w:cstheme="majorBidi"/>
      <w:b/>
      <w:caps/>
      <w:color w:val="299390"/>
      <w:sz w:val="44"/>
      <w:szCs w:val="32"/>
    </w:rPr>
  </w:style>
  <w:style w:type="paragraph" w:styleId="Titre2">
    <w:name w:val="heading 2"/>
    <w:basedOn w:val="Normal"/>
    <w:next w:val="Normal"/>
    <w:link w:val="Titre2Car"/>
    <w:uiPriority w:val="9"/>
    <w:unhideWhenUsed/>
    <w:qFormat/>
    <w:rsid w:val="009F58B2"/>
    <w:pPr>
      <w:keepNext/>
      <w:keepLines/>
      <w:spacing w:before="320" w:after="240" w:line="240" w:lineRule="auto"/>
      <w:outlineLvl w:val="1"/>
    </w:pPr>
    <w:rPr>
      <w:rFonts w:ascii="Impact" w:eastAsiaTheme="majorEastAsia" w:hAnsi="Impact" w:cstheme="majorBidi"/>
      <w:caps/>
      <w:color w:val="833C0B" w:themeColor="accent2" w:themeShade="80"/>
      <w:sz w:val="32"/>
      <w:szCs w:val="26"/>
    </w:rPr>
  </w:style>
  <w:style w:type="paragraph" w:styleId="Titre3">
    <w:name w:val="heading 3"/>
    <w:basedOn w:val="Normal"/>
    <w:next w:val="Normal"/>
    <w:link w:val="Titre3Car"/>
    <w:uiPriority w:val="9"/>
    <w:unhideWhenUsed/>
    <w:qFormat/>
    <w:rsid w:val="008D6FC6"/>
    <w:pPr>
      <w:keepNext/>
      <w:keepLines/>
      <w:spacing w:before="200" w:line="240" w:lineRule="auto"/>
      <w:ind w:left="709"/>
      <w:outlineLvl w:val="2"/>
    </w:pPr>
    <w:rPr>
      <w:rFonts w:eastAsiaTheme="majorEastAsia" w:cstheme="majorBidi"/>
      <w:b/>
      <w:i/>
      <w:color w:val="323E4F" w:themeColor="text2" w:themeShade="BF"/>
      <w:sz w:val="30"/>
      <w:szCs w:val="24"/>
    </w:rPr>
  </w:style>
  <w:style w:type="paragraph" w:styleId="Titre4">
    <w:name w:val="heading 4"/>
    <w:basedOn w:val="Normal"/>
    <w:next w:val="Normal"/>
    <w:link w:val="Titre4Car"/>
    <w:uiPriority w:val="9"/>
    <w:unhideWhenUsed/>
    <w:qFormat/>
    <w:rsid w:val="008D6FC6"/>
    <w:pPr>
      <w:keepNext/>
      <w:keepLines/>
      <w:spacing w:before="120" w:line="240" w:lineRule="auto"/>
      <w:ind w:left="1134"/>
      <w:outlineLvl w:val="3"/>
    </w:pPr>
    <w:rPr>
      <w:rFonts w:eastAsiaTheme="majorEastAsia" w:cstheme="majorBidi"/>
      <w:b/>
      <w:i/>
      <w:iCs/>
      <w:color w:val="3B3838" w:themeColor="background2" w:themeShade="40"/>
      <w:sz w:val="28"/>
    </w:rPr>
  </w:style>
  <w:style w:type="paragraph" w:styleId="Titre5">
    <w:name w:val="heading 5"/>
    <w:basedOn w:val="Normal"/>
    <w:next w:val="Normal"/>
    <w:link w:val="Titre5Car"/>
    <w:uiPriority w:val="9"/>
    <w:unhideWhenUsed/>
    <w:qFormat/>
    <w:rsid w:val="003B7889"/>
    <w:pPr>
      <w:keepNext/>
      <w:keepLines/>
      <w:spacing w:before="200"/>
      <w:ind w:left="1418"/>
      <w:outlineLvl w:val="4"/>
    </w:pPr>
    <w:rPr>
      <w:rFonts w:eastAsiaTheme="majorEastAsia" w:cstheme="majorBidi"/>
      <w:b/>
      <w:i/>
      <w:color w:val="222A35" w:themeColor="text2" w:themeShade="80"/>
      <w:sz w:val="26"/>
    </w:rPr>
  </w:style>
  <w:style w:type="paragraph" w:styleId="Titre6">
    <w:name w:val="heading 6"/>
    <w:basedOn w:val="Normal"/>
    <w:next w:val="Normal"/>
    <w:link w:val="Titre6Car"/>
    <w:uiPriority w:val="9"/>
    <w:semiHidden/>
    <w:unhideWhenUsed/>
    <w:qFormat/>
    <w:rsid w:val="0077672F"/>
    <w:pPr>
      <w:keepNext/>
      <w:keepLines/>
      <w:widowControl w:val="0"/>
      <w:autoSpaceDE w:val="0"/>
      <w:autoSpaceDN w:val="0"/>
      <w:spacing w:before="40"/>
      <w:ind w:left="1152" w:hanging="1152"/>
      <w:jc w:val="left"/>
      <w:outlineLvl w:val="5"/>
    </w:pPr>
    <w:rPr>
      <w:rFonts w:asciiTheme="majorHAnsi" w:eastAsiaTheme="majorEastAsia" w:hAnsiTheme="majorHAnsi" w:cstheme="majorBidi"/>
      <w:color w:val="1F3763" w:themeColor="accent1" w:themeShade="7F"/>
    </w:rPr>
  </w:style>
  <w:style w:type="paragraph" w:styleId="Titre7">
    <w:name w:val="heading 7"/>
    <w:basedOn w:val="Normal"/>
    <w:next w:val="Normal"/>
    <w:link w:val="Titre7Car"/>
    <w:uiPriority w:val="9"/>
    <w:semiHidden/>
    <w:unhideWhenUsed/>
    <w:qFormat/>
    <w:rsid w:val="0077672F"/>
    <w:pPr>
      <w:keepNext/>
      <w:keepLines/>
      <w:widowControl w:val="0"/>
      <w:autoSpaceDE w:val="0"/>
      <w:autoSpaceDN w:val="0"/>
      <w:spacing w:before="40"/>
      <w:ind w:left="1296" w:hanging="1296"/>
      <w:jc w:val="left"/>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Normal"/>
    <w:link w:val="Titre8Car"/>
    <w:uiPriority w:val="9"/>
    <w:semiHidden/>
    <w:unhideWhenUsed/>
    <w:qFormat/>
    <w:rsid w:val="0077672F"/>
    <w:pPr>
      <w:keepNext/>
      <w:keepLines/>
      <w:widowControl w:val="0"/>
      <w:autoSpaceDE w:val="0"/>
      <w:autoSpaceDN w:val="0"/>
      <w:spacing w:before="40"/>
      <w:ind w:left="1440" w:hanging="1440"/>
      <w:jc w:val="left"/>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77672F"/>
    <w:pPr>
      <w:keepNext/>
      <w:keepLines/>
      <w:widowControl w:val="0"/>
      <w:autoSpaceDE w:val="0"/>
      <w:autoSpaceDN w:val="0"/>
      <w:spacing w:before="40"/>
      <w:ind w:left="1584" w:hanging="1584"/>
      <w:jc w:val="left"/>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41468"/>
    <w:rPr>
      <w:rFonts w:ascii="Tahoma" w:eastAsiaTheme="majorEastAsia" w:hAnsi="Tahoma" w:cstheme="majorBidi"/>
      <w:b/>
      <w:caps/>
      <w:color w:val="299390"/>
      <w:sz w:val="44"/>
      <w:szCs w:val="32"/>
    </w:rPr>
  </w:style>
  <w:style w:type="character" w:customStyle="1" w:styleId="Titre2Car">
    <w:name w:val="Titre 2 Car"/>
    <w:basedOn w:val="Policepardfaut"/>
    <w:link w:val="Titre2"/>
    <w:uiPriority w:val="9"/>
    <w:rsid w:val="009F58B2"/>
    <w:rPr>
      <w:rFonts w:ascii="Impact" w:eastAsiaTheme="majorEastAsia" w:hAnsi="Impact" w:cstheme="majorBidi"/>
      <w:caps/>
      <w:color w:val="833C0B" w:themeColor="accent2" w:themeShade="80"/>
      <w:sz w:val="32"/>
      <w:szCs w:val="26"/>
    </w:rPr>
  </w:style>
  <w:style w:type="character" w:customStyle="1" w:styleId="Titre3Car">
    <w:name w:val="Titre 3 Car"/>
    <w:basedOn w:val="Policepardfaut"/>
    <w:link w:val="Titre3"/>
    <w:uiPriority w:val="9"/>
    <w:rsid w:val="008D6FC6"/>
    <w:rPr>
      <w:rFonts w:ascii="Tw Cen MT" w:eastAsiaTheme="majorEastAsia" w:hAnsi="Tw Cen MT" w:cstheme="majorBidi"/>
      <w:b/>
      <w:i/>
      <w:color w:val="323E4F" w:themeColor="text2" w:themeShade="BF"/>
      <w:sz w:val="30"/>
      <w:szCs w:val="24"/>
    </w:rPr>
  </w:style>
  <w:style w:type="paragraph" w:styleId="Normalweb">
    <w:name w:val="Normal (Web)"/>
    <w:basedOn w:val="Normal"/>
    <w:uiPriority w:val="99"/>
    <w:unhideWhenUsed/>
    <w:rsid w:val="001B2347"/>
    <w:pPr>
      <w:spacing w:before="100" w:beforeAutospacing="1" w:after="100" w:afterAutospacing="1" w:line="240" w:lineRule="auto"/>
    </w:pPr>
    <w:rPr>
      <w:rFonts w:ascii="Times New Roman" w:eastAsia="Times New Roman" w:hAnsi="Times New Roman" w:cs="Times New Roman"/>
      <w:szCs w:val="24"/>
      <w:lang w:eastAsia="fr-FR"/>
    </w:rPr>
  </w:style>
  <w:style w:type="paragraph" w:styleId="Notedebasdepage">
    <w:name w:val="footnote text"/>
    <w:basedOn w:val="Normal"/>
    <w:link w:val="NotedebasdepageCar"/>
    <w:uiPriority w:val="99"/>
    <w:semiHidden/>
    <w:unhideWhenUsed/>
    <w:rsid w:val="001B2347"/>
    <w:pPr>
      <w:spacing w:after="0" w:line="240" w:lineRule="auto"/>
    </w:pPr>
    <w:rPr>
      <w:rFonts w:ascii="Times New Roman" w:eastAsia="Times New Roman" w:hAnsi="Times New Roman" w:cs="Times New Roman"/>
      <w:sz w:val="20"/>
      <w:szCs w:val="20"/>
      <w:lang w:eastAsia="fr-FR"/>
    </w:rPr>
  </w:style>
  <w:style w:type="character" w:customStyle="1" w:styleId="NotedebasdepageCar">
    <w:name w:val="Note de bas de page Car"/>
    <w:basedOn w:val="Policepardfaut"/>
    <w:link w:val="Notedebasdepage"/>
    <w:uiPriority w:val="99"/>
    <w:semiHidden/>
    <w:rsid w:val="001B2347"/>
    <w:rPr>
      <w:rFonts w:ascii="Times New Roman" w:eastAsia="Times New Roman" w:hAnsi="Times New Roman" w:cs="Times New Roman"/>
      <w:sz w:val="20"/>
      <w:szCs w:val="20"/>
      <w:lang w:eastAsia="fr-FR"/>
    </w:rPr>
  </w:style>
  <w:style w:type="character" w:customStyle="1" w:styleId="PardelisteCar">
    <w:name w:val="Par. de liste Car"/>
    <w:aliases w:val="References Car,Paragraphe de liste1 Car,Paragraphe  revu Car,Bullets Car,Bullet L1 Car,List Paragraph Car,Bullet multilevel Car,Bullet 1 Car,Liste 1 Car,figure Car,Liste couleur - Accent 11 Car,Numbered List Paragraph Car,Style1 Car"/>
    <w:link w:val="Pardeliste"/>
    <w:uiPriority w:val="34"/>
    <w:qFormat/>
    <w:locked/>
    <w:rsid w:val="001B2347"/>
  </w:style>
  <w:style w:type="paragraph" w:styleId="Pardeliste">
    <w:name w:val="List Paragraph"/>
    <w:aliases w:val="References,Paragraphe de liste1,Paragraphe  revu,Bullets,Bullet L1,List Paragraph,Bullet multilevel,Bullet 1,Liste 1,figure,Liste couleur - Accent 11,Numbered List Paragraph,ReferencesCxSpLast,List Paragraph (numbered (a)),Style1,L_4"/>
    <w:basedOn w:val="Normal"/>
    <w:link w:val="PardelisteCar"/>
    <w:uiPriority w:val="34"/>
    <w:qFormat/>
    <w:rsid w:val="001B2347"/>
    <w:pPr>
      <w:ind w:left="720"/>
      <w:contextualSpacing/>
    </w:pPr>
  </w:style>
  <w:style w:type="paragraph" w:customStyle="1" w:styleId="Default">
    <w:name w:val="Default"/>
    <w:uiPriority w:val="99"/>
    <w:rsid w:val="00370196"/>
    <w:pPr>
      <w:autoSpaceDE w:val="0"/>
      <w:autoSpaceDN w:val="0"/>
      <w:adjustRightInd w:val="0"/>
      <w:spacing w:after="0" w:line="240" w:lineRule="auto"/>
    </w:pPr>
    <w:rPr>
      <w:rFonts w:ascii="Book Antiqua" w:eastAsia="Calibri" w:hAnsi="Book Antiqua" w:cs="Book Antiqua"/>
      <w:color w:val="000000"/>
      <w:sz w:val="24"/>
      <w:szCs w:val="24"/>
    </w:rPr>
  </w:style>
  <w:style w:type="paragraph" w:customStyle="1" w:styleId="sstitre">
    <w:name w:val="sstitre"/>
    <w:basedOn w:val="Normal"/>
    <w:rsid w:val="00370196"/>
    <w:pPr>
      <w:spacing w:before="240" w:after="0" w:line="240" w:lineRule="auto"/>
    </w:pPr>
    <w:rPr>
      <w:rFonts w:ascii="Times New Roman" w:eastAsia="Times New Roman" w:hAnsi="Times New Roman"/>
      <w:b/>
      <w:bCs/>
      <w:szCs w:val="24"/>
      <w:lang w:eastAsia="fr-FR"/>
    </w:rPr>
  </w:style>
  <w:style w:type="character" w:styleId="Appelnotedebasdep">
    <w:name w:val="footnote reference"/>
    <w:basedOn w:val="Policepardfaut"/>
    <w:link w:val="ftrefCharCharCharChar"/>
    <w:uiPriority w:val="99"/>
    <w:unhideWhenUsed/>
    <w:rsid w:val="001B2347"/>
    <w:rPr>
      <w:vertAlign w:val="superscript"/>
    </w:rPr>
  </w:style>
  <w:style w:type="paragraph" w:customStyle="1" w:styleId="ftrefCharCharCharChar">
    <w:name w:val="ftref Char Char Char Char"/>
    <w:aliases w:val="16 Point Char Char Char Char,Superscript 6 Point Char Char Char Char,Char Char Char Char Car Char Char Char Char Char,Char Char Char Char Car Char Char1 Char Char Char Char Char Char Char"/>
    <w:basedOn w:val="Normal"/>
    <w:next w:val="Normal"/>
    <w:link w:val="Appelnotedebasdep"/>
    <w:uiPriority w:val="99"/>
    <w:rsid w:val="00370196"/>
    <w:pPr>
      <w:spacing w:line="240" w:lineRule="exact"/>
    </w:pPr>
    <w:rPr>
      <w:vertAlign w:val="superscript"/>
    </w:rPr>
  </w:style>
  <w:style w:type="paragraph" w:styleId="Textedebulles">
    <w:name w:val="Balloon Text"/>
    <w:basedOn w:val="Normal"/>
    <w:link w:val="TextedebullesCar"/>
    <w:uiPriority w:val="99"/>
    <w:semiHidden/>
    <w:unhideWhenUsed/>
    <w:rsid w:val="001B234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B2347"/>
    <w:rPr>
      <w:rFonts w:ascii="Tahoma" w:hAnsi="Tahoma" w:cs="Tahoma"/>
      <w:sz w:val="16"/>
      <w:szCs w:val="16"/>
    </w:rPr>
  </w:style>
  <w:style w:type="table" w:styleId="Grilledutableau">
    <w:name w:val="Table Grid"/>
    <w:basedOn w:val="TableauNormal"/>
    <w:uiPriority w:val="39"/>
    <w:rsid w:val="001B23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aire">
    <w:name w:val="annotation text"/>
    <w:basedOn w:val="Normal"/>
    <w:link w:val="CommentaireCar"/>
    <w:uiPriority w:val="99"/>
    <w:semiHidden/>
    <w:unhideWhenUsed/>
    <w:rsid w:val="006E31F9"/>
    <w:pPr>
      <w:spacing w:after="0" w:line="240" w:lineRule="auto"/>
    </w:pPr>
    <w:rPr>
      <w:rFonts w:ascii="Times New Roman" w:eastAsia="Times New Roman" w:hAnsi="Times New Roman"/>
      <w:sz w:val="20"/>
      <w:szCs w:val="20"/>
      <w:lang w:eastAsia="fr-FR"/>
    </w:rPr>
  </w:style>
  <w:style w:type="character" w:customStyle="1" w:styleId="CommentaireCar">
    <w:name w:val="Commentaire Car"/>
    <w:basedOn w:val="Policepardfaut"/>
    <w:link w:val="Commentaire"/>
    <w:uiPriority w:val="99"/>
    <w:semiHidden/>
    <w:rsid w:val="006E31F9"/>
    <w:rPr>
      <w:rFonts w:ascii="Times New Roman" w:eastAsia="Times New Roman" w:hAnsi="Times New Roman" w:cs="Times New Roman"/>
      <w:sz w:val="20"/>
      <w:szCs w:val="20"/>
      <w:lang w:eastAsia="fr-FR"/>
    </w:rPr>
  </w:style>
  <w:style w:type="character" w:styleId="Marquedecommentaire">
    <w:name w:val="annotation reference"/>
    <w:uiPriority w:val="99"/>
    <w:semiHidden/>
    <w:unhideWhenUsed/>
    <w:rsid w:val="006E31F9"/>
    <w:rPr>
      <w:sz w:val="16"/>
      <w:szCs w:val="16"/>
    </w:rPr>
  </w:style>
  <w:style w:type="character" w:customStyle="1" w:styleId="SansinterligneCar">
    <w:name w:val="Sans interligne Car"/>
    <w:link w:val="Sansinterligne"/>
    <w:uiPriority w:val="1"/>
    <w:locked/>
    <w:rsid w:val="00B71BF2"/>
    <w:rPr>
      <w:rFonts w:ascii="Times New Roman" w:eastAsia="Times New Roman" w:hAnsi="Times New Roman" w:cs="Times New Roman"/>
    </w:rPr>
  </w:style>
  <w:style w:type="paragraph" w:styleId="Sansinterligne">
    <w:name w:val="No Spacing"/>
    <w:link w:val="SansinterligneCar"/>
    <w:uiPriority w:val="1"/>
    <w:qFormat/>
    <w:rsid w:val="00B71BF2"/>
    <w:pPr>
      <w:spacing w:after="0" w:line="240" w:lineRule="auto"/>
    </w:pPr>
    <w:rPr>
      <w:rFonts w:ascii="Times New Roman" w:eastAsia="Times New Roman" w:hAnsi="Times New Roman" w:cs="Times New Roman"/>
    </w:rPr>
  </w:style>
  <w:style w:type="paragraph" w:styleId="En-ttedetabledesmatires">
    <w:name w:val="TOC Heading"/>
    <w:basedOn w:val="Titre1"/>
    <w:next w:val="Normal"/>
    <w:uiPriority w:val="39"/>
    <w:unhideWhenUsed/>
    <w:qFormat/>
    <w:rsid w:val="0034692F"/>
    <w:pPr>
      <w:outlineLvl w:val="9"/>
    </w:pPr>
    <w:rPr>
      <w:lang w:eastAsia="fr-FR"/>
    </w:rPr>
  </w:style>
  <w:style w:type="paragraph" w:styleId="TM1">
    <w:name w:val="toc 1"/>
    <w:basedOn w:val="Normal"/>
    <w:next w:val="Normal"/>
    <w:autoRedefine/>
    <w:uiPriority w:val="39"/>
    <w:unhideWhenUsed/>
    <w:rsid w:val="000E368D"/>
    <w:pPr>
      <w:tabs>
        <w:tab w:val="right" w:leader="dot" w:pos="9060"/>
      </w:tabs>
      <w:spacing w:before="80" w:after="60" w:line="240" w:lineRule="auto"/>
    </w:pPr>
    <w:rPr>
      <w:rFonts w:ascii="Impact" w:hAnsi="Impact"/>
      <w:color w:val="595959" w:themeColor="text1" w:themeTint="A6"/>
      <w:sz w:val="28"/>
    </w:rPr>
  </w:style>
  <w:style w:type="paragraph" w:styleId="TM2">
    <w:name w:val="toc 2"/>
    <w:basedOn w:val="Normal"/>
    <w:next w:val="Normal"/>
    <w:autoRedefine/>
    <w:uiPriority w:val="39"/>
    <w:unhideWhenUsed/>
    <w:rsid w:val="000E368D"/>
    <w:pPr>
      <w:spacing w:before="60" w:after="60" w:line="240" w:lineRule="auto"/>
    </w:pPr>
    <w:rPr>
      <w:b/>
      <w:color w:val="595959" w:themeColor="text1" w:themeTint="A6"/>
      <w:sz w:val="26"/>
    </w:rPr>
  </w:style>
  <w:style w:type="paragraph" w:styleId="TM3">
    <w:name w:val="toc 3"/>
    <w:basedOn w:val="Normal"/>
    <w:next w:val="Normal"/>
    <w:autoRedefine/>
    <w:uiPriority w:val="39"/>
    <w:unhideWhenUsed/>
    <w:rsid w:val="000E368D"/>
    <w:pPr>
      <w:spacing w:before="40" w:after="40" w:line="240" w:lineRule="auto"/>
      <w:ind w:left="709"/>
    </w:pPr>
    <w:rPr>
      <w:b/>
      <w:color w:val="595959" w:themeColor="text1" w:themeTint="A6"/>
      <w:sz w:val="22"/>
    </w:rPr>
  </w:style>
  <w:style w:type="character" w:styleId="Lienhypertexte">
    <w:name w:val="Hyperlink"/>
    <w:basedOn w:val="Policepardfaut"/>
    <w:uiPriority w:val="99"/>
    <w:unhideWhenUsed/>
    <w:rsid w:val="001B2347"/>
    <w:rPr>
      <w:color w:val="0563C1" w:themeColor="hyperlink"/>
      <w:u w:val="single"/>
    </w:rPr>
  </w:style>
  <w:style w:type="character" w:customStyle="1" w:styleId="il">
    <w:name w:val="il"/>
    <w:basedOn w:val="Policepardfaut"/>
    <w:rsid w:val="00E61DE6"/>
  </w:style>
  <w:style w:type="character" w:styleId="Lienhypertextevisit">
    <w:name w:val="FollowedHyperlink"/>
    <w:basedOn w:val="Policepardfaut"/>
    <w:uiPriority w:val="99"/>
    <w:semiHidden/>
    <w:unhideWhenUsed/>
    <w:rsid w:val="00481792"/>
    <w:rPr>
      <w:color w:val="954F72" w:themeColor="followedHyperlink"/>
      <w:u w:val="single"/>
    </w:rPr>
  </w:style>
  <w:style w:type="paragraph" w:customStyle="1" w:styleId="texte">
    <w:name w:val="texte"/>
    <w:basedOn w:val="Normal"/>
    <w:rsid w:val="00851F40"/>
    <w:pPr>
      <w:spacing w:before="100" w:beforeAutospacing="1" w:after="100" w:afterAutospacing="1" w:line="240" w:lineRule="auto"/>
    </w:pPr>
    <w:rPr>
      <w:rFonts w:ascii="Times New Roman" w:eastAsia="Times New Roman" w:hAnsi="Times New Roman"/>
      <w:szCs w:val="24"/>
      <w:lang w:eastAsia="fr-FR"/>
    </w:rPr>
  </w:style>
  <w:style w:type="paragraph" w:styleId="Objetducommentaire">
    <w:name w:val="annotation subject"/>
    <w:basedOn w:val="Commentaire"/>
    <w:next w:val="Commentaire"/>
    <w:link w:val="ObjetducommentaireCar"/>
    <w:uiPriority w:val="99"/>
    <w:semiHidden/>
    <w:unhideWhenUsed/>
    <w:rsid w:val="00BE3B37"/>
    <w:pPr>
      <w:spacing w:after="160"/>
    </w:pPr>
    <w:rPr>
      <w:rFonts w:ascii="Calibri" w:eastAsia="Calibri" w:hAnsi="Calibri"/>
      <w:b/>
      <w:bCs/>
      <w:lang w:eastAsia="en-US"/>
    </w:rPr>
  </w:style>
  <w:style w:type="character" w:customStyle="1" w:styleId="ObjetducommentaireCar">
    <w:name w:val="Objet du commentaire Car"/>
    <w:basedOn w:val="CommentaireCar"/>
    <w:link w:val="Objetducommentaire"/>
    <w:uiPriority w:val="99"/>
    <w:semiHidden/>
    <w:rsid w:val="00BE3B37"/>
    <w:rPr>
      <w:rFonts w:ascii="Calibri" w:eastAsia="Calibri" w:hAnsi="Calibri" w:cs="Times New Roman"/>
      <w:b/>
      <w:bCs/>
      <w:sz w:val="20"/>
      <w:szCs w:val="20"/>
      <w:lang w:eastAsia="fr-FR"/>
    </w:rPr>
  </w:style>
  <w:style w:type="paragraph" w:styleId="En-tte">
    <w:name w:val="header"/>
    <w:basedOn w:val="Normal"/>
    <w:link w:val="En-tteCar"/>
    <w:uiPriority w:val="99"/>
    <w:unhideWhenUsed/>
    <w:rsid w:val="001B2347"/>
    <w:pPr>
      <w:tabs>
        <w:tab w:val="center" w:pos="4536"/>
        <w:tab w:val="right" w:pos="9072"/>
      </w:tabs>
      <w:spacing w:after="0" w:line="240" w:lineRule="auto"/>
    </w:pPr>
  </w:style>
  <w:style w:type="character" w:customStyle="1" w:styleId="En-tteCar">
    <w:name w:val="En-tête Car"/>
    <w:basedOn w:val="Policepardfaut"/>
    <w:link w:val="En-tte"/>
    <w:uiPriority w:val="99"/>
    <w:rsid w:val="001B2347"/>
  </w:style>
  <w:style w:type="paragraph" w:styleId="Pieddepage">
    <w:name w:val="footer"/>
    <w:basedOn w:val="Normal"/>
    <w:link w:val="PieddepageCar"/>
    <w:uiPriority w:val="99"/>
    <w:unhideWhenUsed/>
    <w:rsid w:val="001B2347"/>
    <w:pPr>
      <w:tabs>
        <w:tab w:val="center" w:pos="4536"/>
        <w:tab w:val="right" w:pos="9072"/>
      </w:tabs>
      <w:spacing w:after="0" w:line="240" w:lineRule="auto"/>
    </w:pPr>
    <w:rPr>
      <w:rFonts w:ascii="Calibri" w:eastAsia="Times New Roman" w:hAnsi="Calibri" w:cs="Times New Roman"/>
      <w:lang w:eastAsia="fr-FR"/>
    </w:rPr>
  </w:style>
  <w:style w:type="character" w:customStyle="1" w:styleId="PieddepageCar">
    <w:name w:val="Pied de page Car"/>
    <w:basedOn w:val="Policepardfaut"/>
    <w:link w:val="Pieddepage"/>
    <w:uiPriority w:val="99"/>
    <w:rsid w:val="001B2347"/>
    <w:rPr>
      <w:rFonts w:ascii="Calibri" w:eastAsia="Times New Roman" w:hAnsi="Calibri" w:cs="Times New Roman"/>
      <w:lang w:eastAsia="fr-FR"/>
    </w:rPr>
  </w:style>
  <w:style w:type="numbering" w:customStyle="1" w:styleId="Aucuneliste1">
    <w:name w:val="Aucune liste1"/>
    <w:next w:val="Aucuneliste"/>
    <w:uiPriority w:val="99"/>
    <w:semiHidden/>
    <w:unhideWhenUsed/>
    <w:rsid w:val="001B2347"/>
  </w:style>
  <w:style w:type="paragraph" w:styleId="Corpsdetexte2">
    <w:name w:val="Body Text 2"/>
    <w:basedOn w:val="Normal"/>
    <w:link w:val="Corpsdetexte2Car"/>
    <w:uiPriority w:val="99"/>
    <w:rsid w:val="001B2347"/>
    <w:pPr>
      <w:spacing w:after="0" w:line="240" w:lineRule="auto"/>
    </w:pPr>
    <w:rPr>
      <w:rFonts w:ascii="Times New Roman" w:eastAsia="Times New Roman" w:hAnsi="Times New Roman" w:cs="Times New Roman"/>
      <w:szCs w:val="24"/>
      <w:lang w:val="x-none" w:eastAsia="x-none"/>
    </w:rPr>
  </w:style>
  <w:style w:type="character" w:customStyle="1" w:styleId="Corpsdetexte2Car">
    <w:name w:val="Corps de texte 2 Car"/>
    <w:basedOn w:val="Policepardfaut"/>
    <w:link w:val="Corpsdetexte2"/>
    <w:uiPriority w:val="99"/>
    <w:rsid w:val="001B2347"/>
    <w:rPr>
      <w:rFonts w:ascii="Times New Roman" w:eastAsia="Times New Roman" w:hAnsi="Times New Roman" w:cs="Times New Roman"/>
      <w:sz w:val="24"/>
      <w:szCs w:val="24"/>
      <w:lang w:val="x-none" w:eastAsia="x-none"/>
    </w:rPr>
  </w:style>
  <w:style w:type="paragraph" w:styleId="TM4">
    <w:name w:val="toc 4"/>
    <w:basedOn w:val="Normal"/>
    <w:next w:val="Normal"/>
    <w:autoRedefine/>
    <w:uiPriority w:val="39"/>
    <w:unhideWhenUsed/>
    <w:rsid w:val="00FD3B44"/>
    <w:pPr>
      <w:spacing w:before="40" w:after="40" w:line="240" w:lineRule="auto"/>
      <w:ind w:left="1416"/>
    </w:pPr>
    <w:rPr>
      <w:rFonts w:eastAsiaTheme="minorEastAsia"/>
      <w:b/>
      <w:i/>
      <w:color w:val="595959" w:themeColor="text1" w:themeTint="A6"/>
      <w:sz w:val="21"/>
      <w:lang w:eastAsia="fr-FR"/>
    </w:rPr>
  </w:style>
  <w:style w:type="paragraph" w:styleId="TM5">
    <w:name w:val="toc 5"/>
    <w:basedOn w:val="Normal"/>
    <w:next w:val="Normal"/>
    <w:autoRedefine/>
    <w:uiPriority w:val="39"/>
    <w:unhideWhenUsed/>
    <w:rsid w:val="000E368D"/>
    <w:pPr>
      <w:spacing w:after="40"/>
      <w:ind w:left="2126"/>
    </w:pPr>
    <w:rPr>
      <w:rFonts w:eastAsiaTheme="minorEastAsia"/>
      <w:b/>
      <w:i/>
      <w:color w:val="595959" w:themeColor="text1" w:themeTint="A6"/>
      <w:sz w:val="21"/>
      <w:lang w:eastAsia="fr-FR"/>
    </w:rPr>
  </w:style>
  <w:style w:type="paragraph" w:styleId="TM6">
    <w:name w:val="toc 6"/>
    <w:basedOn w:val="Normal"/>
    <w:next w:val="Normal"/>
    <w:autoRedefine/>
    <w:uiPriority w:val="39"/>
    <w:unhideWhenUsed/>
    <w:rsid w:val="001B2347"/>
    <w:pPr>
      <w:spacing w:after="100"/>
      <w:ind w:left="1100"/>
    </w:pPr>
    <w:rPr>
      <w:rFonts w:eastAsiaTheme="minorEastAsia"/>
      <w:lang w:eastAsia="fr-FR"/>
    </w:rPr>
  </w:style>
  <w:style w:type="paragraph" w:styleId="TM7">
    <w:name w:val="toc 7"/>
    <w:basedOn w:val="Normal"/>
    <w:next w:val="Normal"/>
    <w:autoRedefine/>
    <w:uiPriority w:val="39"/>
    <w:unhideWhenUsed/>
    <w:rsid w:val="001B2347"/>
    <w:pPr>
      <w:spacing w:after="100"/>
      <w:ind w:left="1320"/>
    </w:pPr>
    <w:rPr>
      <w:rFonts w:eastAsiaTheme="minorEastAsia"/>
      <w:lang w:eastAsia="fr-FR"/>
    </w:rPr>
  </w:style>
  <w:style w:type="paragraph" w:styleId="TM8">
    <w:name w:val="toc 8"/>
    <w:basedOn w:val="Normal"/>
    <w:next w:val="Normal"/>
    <w:autoRedefine/>
    <w:uiPriority w:val="39"/>
    <w:unhideWhenUsed/>
    <w:rsid w:val="001B2347"/>
    <w:pPr>
      <w:spacing w:after="100"/>
      <w:ind w:left="1540"/>
    </w:pPr>
    <w:rPr>
      <w:rFonts w:eastAsiaTheme="minorEastAsia"/>
      <w:lang w:eastAsia="fr-FR"/>
    </w:rPr>
  </w:style>
  <w:style w:type="paragraph" w:styleId="TM9">
    <w:name w:val="toc 9"/>
    <w:basedOn w:val="Normal"/>
    <w:next w:val="Normal"/>
    <w:autoRedefine/>
    <w:uiPriority w:val="39"/>
    <w:unhideWhenUsed/>
    <w:rsid w:val="001B2347"/>
    <w:pPr>
      <w:spacing w:after="100"/>
      <w:ind w:left="1760"/>
    </w:pPr>
    <w:rPr>
      <w:rFonts w:eastAsiaTheme="minorEastAsia"/>
      <w:lang w:eastAsia="fr-FR"/>
    </w:rPr>
  </w:style>
  <w:style w:type="character" w:customStyle="1" w:styleId="Titre4Car">
    <w:name w:val="Titre 4 Car"/>
    <w:basedOn w:val="Policepardfaut"/>
    <w:link w:val="Titre4"/>
    <w:uiPriority w:val="9"/>
    <w:rsid w:val="008D6FC6"/>
    <w:rPr>
      <w:rFonts w:ascii="Tw Cen MT" w:eastAsiaTheme="majorEastAsia" w:hAnsi="Tw Cen MT" w:cstheme="majorBidi"/>
      <w:b/>
      <w:i/>
      <w:iCs/>
      <w:color w:val="3B3838" w:themeColor="background2" w:themeShade="40"/>
      <w:sz w:val="28"/>
    </w:rPr>
  </w:style>
  <w:style w:type="table" w:styleId="Tableausimple4">
    <w:name w:val="Plain Table 4"/>
    <w:basedOn w:val="TableauNormal"/>
    <w:uiPriority w:val="44"/>
    <w:rsid w:val="00B235F3"/>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abledesillustrations">
    <w:name w:val="table of figures"/>
    <w:basedOn w:val="Normal"/>
    <w:next w:val="Normal"/>
    <w:link w:val="TabledesillustrationsCar"/>
    <w:uiPriority w:val="99"/>
    <w:unhideWhenUsed/>
    <w:rsid w:val="000B3948"/>
    <w:pPr>
      <w:spacing w:after="0" w:line="240" w:lineRule="auto"/>
    </w:pPr>
    <w:rPr>
      <w:rFonts w:eastAsia="Times New Roman" w:cs="Times New Roman"/>
      <w:szCs w:val="24"/>
      <w:lang w:eastAsia="fr-FR"/>
    </w:rPr>
  </w:style>
  <w:style w:type="paragraph" w:customStyle="1" w:styleId="Tableau">
    <w:name w:val="Tableau"/>
    <w:basedOn w:val="Tabledesillustrations"/>
    <w:link w:val="TableauCar"/>
    <w:qFormat/>
    <w:rsid w:val="00F633A6"/>
    <w:pPr>
      <w:tabs>
        <w:tab w:val="right" w:leader="dot" w:pos="9062"/>
      </w:tabs>
    </w:pPr>
    <w:rPr>
      <w:szCs w:val="22"/>
    </w:rPr>
  </w:style>
  <w:style w:type="paragraph" w:styleId="Lgende">
    <w:name w:val="caption"/>
    <w:basedOn w:val="Normal"/>
    <w:next w:val="Normal"/>
    <w:uiPriority w:val="35"/>
    <w:unhideWhenUsed/>
    <w:qFormat/>
    <w:rsid w:val="000042B7"/>
    <w:pPr>
      <w:spacing w:after="200" w:line="240" w:lineRule="auto"/>
    </w:pPr>
    <w:rPr>
      <w:rFonts w:ascii="Times New Roman" w:eastAsia="Times New Roman" w:hAnsi="Times New Roman" w:cs="Times New Roman"/>
      <w:i/>
      <w:iCs/>
      <w:color w:val="44546A" w:themeColor="text2"/>
      <w:sz w:val="18"/>
      <w:szCs w:val="18"/>
      <w:lang w:eastAsia="fr-FR"/>
    </w:rPr>
  </w:style>
  <w:style w:type="character" w:customStyle="1" w:styleId="TabledesillustrationsCar">
    <w:name w:val="Table des illustrations Car"/>
    <w:basedOn w:val="Policepardfaut"/>
    <w:link w:val="Tabledesillustrations"/>
    <w:uiPriority w:val="99"/>
    <w:rsid w:val="000B3948"/>
    <w:rPr>
      <w:rFonts w:ascii="Tw Cen MT" w:eastAsia="Times New Roman" w:hAnsi="Tw Cen MT" w:cs="Times New Roman"/>
      <w:sz w:val="24"/>
      <w:szCs w:val="24"/>
      <w:lang w:eastAsia="fr-FR"/>
    </w:rPr>
  </w:style>
  <w:style w:type="character" w:customStyle="1" w:styleId="TableauCar">
    <w:name w:val="Tableau Car"/>
    <w:basedOn w:val="TabledesillustrationsCar"/>
    <w:link w:val="Tableau"/>
    <w:rsid w:val="00F633A6"/>
    <w:rPr>
      <w:rFonts w:ascii="Tw Cen MT" w:eastAsia="Times New Roman" w:hAnsi="Tw Cen MT" w:cs="Times New Roman"/>
      <w:sz w:val="24"/>
      <w:szCs w:val="24"/>
      <w:lang w:eastAsia="fr-FR"/>
    </w:rPr>
  </w:style>
  <w:style w:type="table" w:customStyle="1" w:styleId="Grilledutableau2">
    <w:name w:val="Grille du tableau2"/>
    <w:basedOn w:val="TableauNormal"/>
    <w:next w:val="Grilledutableau"/>
    <w:uiPriority w:val="39"/>
    <w:rsid w:val="005A17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5">
    <w:name w:val="Grille du tableau5"/>
    <w:basedOn w:val="TableauNormal"/>
    <w:next w:val="Grilledutableau"/>
    <w:uiPriority w:val="39"/>
    <w:rsid w:val="005A1741"/>
    <w:pPr>
      <w:spacing w:after="0" w:line="240" w:lineRule="auto"/>
    </w:pPr>
    <w:rPr>
      <w:rFonts w:eastAsia="MS Gothic"/>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
    <w:name w:val="Grille du tableau1"/>
    <w:basedOn w:val="TableauNormal"/>
    <w:next w:val="Grilledutableau"/>
    <w:uiPriority w:val="39"/>
    <w:rsid w:val="00485B2D"/>
    <w:pPr>
      <w:spacing w:after="0" w:line="240" w:lineRule="auto"/>
    </w:pPr>
    <w:rPr>
      <w:rFonts w:eastAsia="MS Gothic"/>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steclaire-Accent3">
    <w:name w:val="Light List Accent 3"/>
    <w:basedOn w:val="TableauNormal"/>
    <w:uiPriority w:val="61"/>
    <w:rsid w:val="00AA2FB4"/>
    <w:pPr>
      <w:spacing w:after="0" w:line="240" w:lineRule="auto"/>
    </w:pPr>
    <w:rPr>
      <w:rFonts w:eastAsiaTheme="minorEastAsia"/>
      <w:lang w:eastAsia="ja-JP"/>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styleId="Corpsdetexte">
    <w:name w:val="Body Text"/>
    <w:basedOn w:val="Normal"/>
    <w:link w:val="CorpsdetexteCar"/>
    <w:uiPriority w:val="1"/>
    <w:unhideWhenUsed/>
    <w:qFormat/>
    <w:rsid w:val="004A5ADB"/>
  </w:style>
  <w:style w:type="character" w:customStyle="1" w:styleId="CorpsdetexteCar">
    <w:name w:val="Corps de texte Car"/>
    <w:basedOn w:val="Policepardfaut"/>
    <w:link w:val="Corpsdetexte"/>
    <w:uiPriority w:val="1"/>
    <w:rsid w:val="004A5ADB"/>
    <w:rPr>
      <w:rFonts w:ascii="Tw Cen MT" w:hAnsi="Tw Cen MT"/>
      <w:sz w:val="24"/>
    </w:rPr>
  </w:style>
  <w:style w:type="character" w:customStyle="1" w:styleId="Titre5Car">
    <w:name w:val="Titre 5 Car"/>
    <w:basedOn w:val="Policepardfaut"/>
    <w:link w:val="Titre5"/>
    <w:uiPriority w:val="9"/>
    <w:rsid w:val="003B7889"/>
    <w:rPr>
      <w:rFonts w:ascii="Tw Cen MT" w:eastAsiaTheme="majorEastAsia" w:hAnsi="Tw Cen MT" w:cstheme="majorBidi"/>
      <w:b/>
      <w:i/>
      <w:color w:val="222A35" w:themeColor="text2" w:themeShade="80"/>
      <w:sz w:val="26"/>
    </w:rPr>
  </w:style>
  <w:style w:type="character" w:customStyle="1" w:styleId="Titre6Car">
    <w:name w:val="Titre 6 Car"/>
    <w:basedOn w:val="Policepardfaut"/>
    <w:link w:val="Titre6"/>
    <w:uiPriority w:val="9"/>
    <w:semiHidden/>
    <w:rsid w:val="0077672F"/>
    <w:rPr>
      <w:rFonts w:asciiTheme="majorHAnsi" w:eastAsiaTheme="majorEastAsia" w:hAnsiTheme="majorHAnsi" w:cstheme="majorBidi"/>
      <w:color w:val="1F3763" w:themeColor="accent1" w:themeShade="7F"/>
      <w:sz w:val="24"/>
    </w:rPr>
  </w:style>
  <w:style w:type="character" w:customStyle="1" w:styleId="Titre7Car">
    <w:name w:val="Titre 7 Car"/>
    <w:basedOn w:val="Policepardfaut"/>
    <w:link w:val="Titre7"/>
    <w:uiPriority w:val="9"/>
    <w:semiHidden/>
    <w:rsid w:val="0077672F"/>
    <w:rPr>
      <w:rFonts w:asciiTheme="majorHAnsi" w:eastAsiaTheme="majorEastAsia" w:hAnsiTheme="majorHAnsi" w:cstheme="majorBidi"/>
      <w:i/>
      <w:iCs/>
      <w:color w:val="1F3763" w:themeColor="accent1" w:themeShade="7F"/>
      <w:sz w:val="24"/>
    </w:rPr>
  </w:style>
  <w:style w:type="character" w:customStyle="1" w:styleId="Titre8Car">
    <w:name w:val="Titre 8 Car"/>
    <w:basedOn w:val="Policepardfaut"/>
    <w:link w:val="Titre8"/>
    <w:uiPriority w:val="9"/>
    <w:semiHidden/>
    <w:rsid w:val="0077672F"/>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77672F"/>
    <w:rPr>
      <w:rFonts w:asciiTheme="majorHAnsi" w:eastAsiaTheme="majorEastAsia" w:hAnsiTheme="majorHAnsi" w:cstheme="majorBidi"/>
      <w:i/>
      <w:iCs/>
      <w:color w:val="272727" w:themeColor="text1" w:themeTint="D8"/>
      <w:sz w:val="21"/>
      <w:szCs w:val="21"/>
    </w:rPr>
  </w:style>
  <w:style w:type="paragraph" w:styleId="Rvision">
    <w:name w:val="Revision"/>
    <w:hidden/>
    <w:uiPriority w:val="99"/>
    <w:semiHidden/>
    <w:rsid w:val="0077672F"/>
    <w:pPr>
      <w:spacing w:after="0" w:line="240" w:lineRule="auto"/>
    </w:pPr>
  </w:style>
  <w:style w:type="character" w:styleId="Emphase">
    <w:name w:val="Emphasis"/>
    <w:basedOn w:val="Policepardfaut"/>
    <w:uiPriority w:val="20"/>
    <w:qFormat/>
    <w:rsid w:val="0077672F"/>
    <w:rPr>
      <w:i/>
      <w:iCs/>
    </w:rPr>
  </w:style>
  <w:style w:type="paragraph" w:styleId="Titre">
    <w:name w:val="Title"/>
    <w:basedOn w:val="Normal"/>
    <w:next w:val="Normal"/>
    <w:link w:val="TitreCar"/>
    <w:uiPriority w:val="10"/>
    <w:qFormat/>
    <w:rsid w:val="0077672F"/>
    <w:pPr>
      <w:contextualSpacing/>
      <w:jc w:val="left"/>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7672F"/>
    <w:rPr>
      <w:rFonts w:asciiTheme="majorHAnsi" w:eastAsiaTheme="majorEastAsia" w:hAnsiTheme="majorHAnsi" w:cstheme="majorBidi"/>
      <w:spacing w:val="-10"/>
      <w:kern w:val="28"/>
      <w:sz w:val="56"/>
      <w:szCs w:val="56"/>
    </w:rPr>
  </w:style>
  <w:style w:type="character" w:customStyle="1" w:styleId="Mentionnonrsolue1">
    <w:name w:val="Mention non résolue1"/>
    <w:basedOn w:val="Policepardfaut"/>
    <w:uiPriority w:val="99"/>
    <w:semiHidden/>
    <w:unhideWhenUsed/>
    <w:rsid w:val="0077672F"/>
    <w:rPr>
      <w:color w:val="605E5C"/>
      <w:shd w:val="clear" w:color="auto" w:fill="E1DFDD"/>
    </w:rPr>
  </w:style>
  <w:style w:type="numbering" w:customStyle="1" w:styleId="Listeactuelle1">
    <w:name w:val="Liste actuelle1"/>
    <w:uiPriority w:val="99"/>
    <w:rsid w:val="0077672F"/>
    <w:pPr>
      <w:numPr>
        <w:numId w:val="43"/>
      </w:numPr>
    </w:pPr>
  </w:style>
  <w:style w:type="character" w:styleId="Numrodepage">
    <w:name w:val="page number"/>
    <w:basedOn w:val="Policepardfaut"/>
    <w:uiPriority w:val="99"/>
    <w:semiHidden/>
    <w:unhideWhenUsed/>
    <w:rsid w:val="0077672F"/>
  </w:style>
  <w:style w:type="paragraph" w:customStyle="1" w:styleId="msonormal0">
    <w:name w:val="msonormal"/>
    <w:basedOn w:val="Normal"/>
    <w:rsid w:val="0077672F"/>
    <w:pPr>
      <w:spacing w:before="100" w:beforeAutospacing="1" w:after="100" w:afterAutospacing="1"/>
      <w:jc w:val="left"/>
    </w:pPr>
    <w:rPr>
      <w:rFonts w:ascii="Times New Roman" w:eastAsia="Times New Roman" w:hAnsi="Times New Roman" w:cs="Times New Roman"/>
      <w:szCs w:val="24"/>
      <w:lang w:eastAsia="fr-FR"/>
    </w:rPr>
  </w:style>
  <w:style w:type="paragraph" w:customStyle="1" w:styleId="font5">
    <w:name w:val="font5"/>
    <w:basedOn w:val="Normal"/>
    <w:rsid w:val="0077672F"/>
    <w:pPr>
      <w:spacing w:before="100" w:beforeAutospacing="1" w:after="100" w:afterAutospacing="1"/>
      <w:jc w:val="left"/>
    </w:pPr>
    <w:rPr>
      <w:rFonts w:ascii="Arial" w:eastAsia="Times New Roman" w:hAnsi="Arial" w:cs="Arial"/>
      <w:b/>
      <w:bCs/>
      <w:color w:val="000000"/>
      <w:sz w:val="14"/>
      <w:szCs w:val="14"/>
      <w:lang w:eastAsia="fr-FR"/>
    </w:rPr>
  </w:style>
  <w:style w:type="paragraph" w:customStyle="1" w:styleId="font6">
    <w:name w:val="font6"/>
    <w:basedOn w:val="Normal"/>
    <w:rsid w:val="0077672F"/>
    <w:pPr>
      <w:spacing w:before="100" w:beforeAutospacing="1" w:after="100" w:afterAutospacing="1"/>
      <w:jc w:val="left"/>
    </w:pPr>
    <w:rPr>
      <w:rFonts w:ascii="Arial" w:eastAsia="Times New Roman" w:hAnsi="Arial" w:cs="Arial"/>
      <w:color w:val="000000"/>
      <w:sz w:val="14"/>
      <w:szCs w:val="14"/>
      <w:lang w:eastAsia="fr-FR"/>
    </w:rPr>
  </w:style>
  <w:style w:type="paragraph" w:customStyle="1" w:styleId="xl65">
    <w:name w:val="xl65"/>
    <w:basedOn w:val="Normal"/>
    <w:rsid w:val="0077672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00"/>
      <w:sz w:val="14"/>
      <w:szCs w:val="14"/>
      <w:lang w:eastAsia="fr-FR"/>
    </w:rPr>
  </w:style>
  <w:style w:type="paragraph" w:customStyle="1" w:styleId="xl66">
    <w:name w:val="xl66"/>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00"/>
      <w:sz w:val="14"/>
      <w:szCs w:val="14"/>
      <w:lang w:eastAsia="fr-FR"/>
    </w:rPr>
  </w:style>
  <w:style w:type="paragraph" w:customStyle="1" w:styleId="xl67">
    <w:name w:val="xl67"/>
    <w:basedOn w:val="Normal"/>
    <w:rsid w:val="0077672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00"/>
      <w:sz w:val="14"/>
      <w:szCs w:val="14"/>
      <w:lang w:eastAsia="fr-FR"/>
    </w:rPr>
  </w:style>
  <w:style w:type="paragraph" w:customStyle="1" w:styleId="xl68">
    <w:name w:val="xl68"/>
    <w:basedOn w:val="Normal"/>
    <w:rsid w:val="0077672F"/>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00"/>
      <w:sz w:val="14"/>
      <w:szCs w:val="14"/>
      <w:lang w:eastAsia="fr-FR"/>
    </w:rPr>
  </w:style>
  <w:style w:type="paragraph" w:customStyle="1" w:styleId="xl69">
    <w:name w:val="xl69"/>
    <w:basedOn w:val="Normal"/>
    <w:rsid w:val="0077672F"/>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00"/>
      <w:sz w:val="14"/>
      <w:szCs w:val="14"/>
      <w:lang w:eastAsia="fr-FR"/>
    </w:rPr>
  </w:style>
  <w:style w:type="paragraph" w:customStyle="1" w:styleId="xl70">
    <w:name w:val="xl70"/>
    <w:basedOn w:val="Normal"/>
    <w:rsid w:val="0077672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00"/>
      <w:sz w:val="14"/>
      <w:szCs w:val="14"/>
      <w:lang w:eastAsia="fr-FR"/>
    </w:rPr>
  </w:style>
  <w:style w:type="paragraph" w:customStyle="1" w:styleId="xl71">
    <w:name w:val="xl71"/>
    <w:basedOn w:val="Normal"/>
    <w:rsid w:val="0077672F"/>
    <w:pPr>
      <w:pBdr>
        <w:top w:val="single" w:sz="4" w:space="0" w:color="auto"/>
        <w:left w:val="single" w:sz="4" w:space="0" w:color="auto"/>
        <w:bottom w:val="single" w:sz="4" w:space="0" w:color="auto"/>
      </w:pBdr>
      <w:shd w:val="clear" w:color="000000" w:fill="C6E0B4"/>
      <w:spacing w:before="100" w:beforeAutospacing="1" w:after="100" w:afterAutospacing="1"/>
      <w:jc w:val="center"/>
      <w:textAlignment w:val="top"/>
    </w:pPr>
    <w:rPr>
      <w:rFonts w:ascii="Arial" w:eastAsia="Times New Roman" w:hAnsi="Arial" w:cs="Arial"/>
      <w:b/>
      <w:bCs/>
      <w:color w:val="000000"/>
      <w:sz w:val="14"/>
      <w:szCs w:val="14"/>
      <w:lang w:eastAsia="fr-FR"/>
    </w:rPr>
  </w:style>
  <w:style w:type="paragraph" w:customStyle="1" w:styleId="xl72">
    <w:name w:val="xl72"/>
    <w:basedOn w:val="Normal"/>
    <w:rsid w:val="0077672F"/>
    <w:pPr>
      <w:pBdr>
        <w:top w:val="single" w:sz="4" w:space="0" w:color="auto"/>
        <w:bottom w:val="single" w:sz="4" w:space="0" w:color="auto"/>
        <w:right w:val="single" w:sz="4" w:space="0" w:color="auto"/>
      </w:pBdr>
      <w:shd w:val="clear" w:color="000000" w:fill="C6E0B4"/>
      <w:spacing w:before="100" w:beforeAutospacing="1" w:after="100" w:afterAutospacing="1"/>
      <w:jc w:val="center"/>
      <w:textAlignment w:val="top"/>
    </w:pPr>
    <w:rPr>
      <w:rFonts w:ascii="Arial" w:eastAsia="Times New Roman" w:hAnsi="Arial" w:cs="Arial"/>
      <w:b/>
      <w:bCs/>
      <w:color w:val="000000"/>
      <w:sz w:val="14"/>
      <w:szCs w:val="14"/>
      <w:lang w:eastAsia="fr-FR"/>
    </w:rPr>
  </w:style>
  <w:style w:type="paragraph" w:customStyle="1" w:styleId="xl73">
    <w:name w:val="xl73"/>
    <w:basedOn w:val="Normal"/>
    <w:rsid w:val="0077672F"/>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left"/>
    </w:pPr>
    <w:rPr>
      <w:rFonts w:ascii="Arial" w:eastAsia="Times New Roman" w:hAnsi="Arial" w:cs="Arial"/>
      <w:b/>
      <w:bCs/>
      <w:color w:val="000000"/>
      <w:sz w:val="14"/>
      <w:szCs w:val="14"/>
      <w:lang w:eastAsia="fr-FR"/>
    </w:rPr>
  </w:style>
  <w:style w:type="paragraph" w:customStyle="1" w:styleId="xl74">
    <w:name w:val="xl74"/>
    <w:basedOn w:val="Normal"/>
    <w:rsid w:val="0077672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top"/>
    </w:pPr>
    <w:rPr>
      <w:rFonts w:ascii="Arial" w:eastAsia="Times New Roman" w:hAnsi="Arial" w:cs="Arial"/>
      <w:b/>
      <w:bCs/>
      <w:color w:val="000000"/>
      <w:sz w:val="14"/>
      <w:szCs w:val="14"/>
      <w:lang w:eastAsia="fr-FR"/>
    </w:rPr>
  </w:style>
  <w:style w:type="paragraph" w:customStyle="1" w:styleId="xl75">
    <w:name w:val="xl75"/>
    <w:basedOn w:val="Normal"/>
    <w:rsid w:val="0077672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rFonts w:ascii="Arial" w:eastAsia="Times New Roman" w:hAnsi="Arial" w:cs="Arial"/>
      <w:b/>
      <w:bCs/>
      <w:color w:val="000000"/>
      <w:sz w:val="14"/>
      <w:szCs w:val="14"/>
      <w:lang w:eastAsia="fr-FR"/>
    </w:rPr>
  </w:style>
  <w:style w:type="paragraph" w:customStyle="1" w:styleId="xl76">
    <w:name w:val="xl76"/>
    <w:basedOn w:val="Normal"/>
    <w:rsid w:val="0077672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Arial" w:eastAsia="Times New Roman" w:hAnsi="Arial" w:cs="Arial"/>
      <w:b/>
      <w:bCs/>
      <w:color w:val="000000"/>
      <w:sz w:val="14"/>
      <w:szCs w:val="14"/>
      <w:lang w:eastAsia="fr-FR"/>
    </w:rPr>
  </w:style>
  <w:style w:type="paragraph" w:customStyle="1" w:styleId="xl77">
    <w:name w:val="xl77"/>
    <w:basedOn w:val="Normal"/>
    <w:rsid w:val="0077672F"/>
    <w:pPr>
      <w:pBdr>
        <w:top w:val="single" w:sz="4" w:space="0" w:color="auto"/>
        <w:left w:val="single" w:sz="4" w:space="0" w:color="auto"/>
        <w:bottom w:val="single" w:sz="4" w:space="0" w:color="auto"/>
      </w:pBdr>
      <w:shd w:val="clear" w:color="000000" w:fill="C6E0B4"/>
      <w:spacing w:before="100" w:beforeAutospacing="1" w:after="100" w:afterAutospacing="1"/>
      <w:jc w:val="center"/>
      <w:textAlignment w:val="top"/>
    </w:pPr>
    <w:rPr>
      <w:rFonts w:ascii="Arial" w:eastAsia="Times New Roman" w:hAnsi="Arial" w:cs="Arial"/>
      <w:b/>
      <w:bCs/>
      <w:sz w:val="14"/>
      <w:szCs w:val="14"/>
      <w:lang w:eastAsia="fr-FR"/>
    </w:rPr>
  </w:style>
  <w:style w:type="paragraph" w:customStyle="1" w:styleId="xl78">
    <w:name w:val="xl78"/>
    <w:basedOn w:val="Normal"/>
    <w:rsid w:val="0077672F"/>
    <w:pPr>
      <w:pBdr>
        <w:top w:val="single" w:sz="4" w:space="0" w:color="auto"/>
        <w:bottom w:val="single" w:sz="4" w:space="0" w:color="auto"/>
        <w:right w:val="single" w:sz="4" w:space="0" w:color="auto"/>
      </w:pBdr>
      <w:shd w:val="clear" w:color="000000" w:fill="C6E0B4"/>
      <w:spacing w:before="100" w:beforeAutospacing="1" w:after="100" w:afterAutospacing="1"/>
      <w:jc w:val="center"/>
      <w:textAlignment w:val="top"/>
    </w:pPr>
    <w:rPr>
      <w:rFonts w:ascii="Arial" w:eastAsia="Times New Roman" w:hAnsi="Arial" w:cs="Arial"/>
      <w:b/>
      <w:bCs/>
      <w:sz w:val="14"/>
      <w:szCs w:val="14"/>
      <w:lang w:eastAsia="fr-FR"/>
    </w:rPr>
  </w:style>
  <w:style w:type="paragraph" w:customStyle="1" w:styleId="xl79">
    <w:name w:val="xl79"/>
    <w:basedOn w:val="Normal"/>
    <w:rsid w:val="0077672F"/>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left"/>
      <w:textAlignment w:val="top"/>
    </w:pPr>
    <w:rPr>
      <w:rFonts w:ascii="Arial" w:eastAsia="Times New Roman" w:hAnsi="Arial" w:cs="Arial"/>
      <w:sz w:val="14"/>
      <w:szCs w:val="14"/>
      <w:lang w:eastAsia="fr-FR"/>
    </w:rPr>
  </w:style>
  <w:style w:type="paragraph" w:customStyle="1" w:styleId="xl80">
    <w:name w:val="xl80"/>
    <w:basedOn w:val="Normal"/>
    <w:rsid w:val="0077672F"/>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top"/>
    </w:pPr>
    <w:rPr>
      <w:rFonts w:ascii="Arial" w:eastAsia="Times New Roman" w:hAnsi="Arial" w:cs="Arial"/>
      <w:b/>
      <w:bCs/>
      <w:sz w:val="14"/>
      <w:szCs w:val="14"/>
      <w:lang w:eastAsia="fr-FR"/>
    </w:rPr>
  </w:style>
  <w:style w:type="paragraph" w:customStyle="1" w:styleId="xl81">
    <w:name w:val="xl81"/>
    <w:basedOn w:val="Normal"/>
    <w:rsid w:val="0077672F"/>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top"/>
    </w:pPr>
    <w:rPr>
      <w:rFonts w:ascii="Arial" w:eastAsia="Times New Roman" w:hAnsi="Arial" w:cs="Arial"/>
      <w:b/>
      <w:bCs/>
      <w:sz w:val="14"/>
      <w:szCs w:val="14"/>
      <w:lang w:eastAsia="fr-FR"/>
    </w:rPr>
  </w:style>
  <w:style w:type="paragraph" w:customStyle="1" w:styleId="xl82">
    <w:name w:val="xl82"/>
    <w:basedOn w:val="Normal"/>
    <w:rsid w:val="0077672F"/>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left"/>
      <w:textAlignment w:val="top"/>
    </w:pPr>
    <w:rPr>
      <w:rFonts w:ascii="Arial" w:eastAsia="Times New Roman" w:hAnsi="Arial" w:cs="Arial"/>
      <w:sz w:val="14"/>
      <w:szCs w:val="14"/>
      <w:lang w:eastAsia="fr-FR"/>
    </w:rPr>
  </w:style>
  <w:style w:type="paragraph" w:customStyle="1" w:styleId="xl83">
    <w:name w:val="xl83"/>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0000"/>
      <w:sz w:val="14"/>
      <w:szCs w:val="14"/>
      <w:lang w:eastAsia="fr-FR"/>
    </w:rPr>
  </w:style>
  <w:style w:type="paragraph" w:customStyle="1" w:styleId="xl84">
    <w:name w:val="xl84"/>
    <w:basedOn w:val="Normal"/>
    <w:rsid w:val="0077672F"/>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14"/>
      <w:szCs w:val="14"/>
      <w:lang w:eastAsia="fr-FR"/>
    </w:rPr>
  </w:style>
  <w:style w:type="paragraph" w:customStyle="1" w:styleId="xl85">
    <w:name w:val="xl85"/>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14"/>
      <w:szCs w:val="14"/>
      <w:lang w:eastAsia="fr-FR"/>
    </w:rPr>
  </w:style>
  <w:style w:type="paragraph" w:customStyle="1" w:styleId="xl86">
    <w:name w:val="xl86"/>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b/>
      <w:bCs/>
      <w:color w:val="FF0000"/>
      <w:sz w:val="14"/>
      <w:szCs w:val="14"/>
      <w:lang w:eastAsia="fr-FR"/>
    </w:rPr>
  </w:style>
  <w:style w:type="paragraph" w:customStyle="1" w:styleId="xl87">
    <w:name w:val="xl87"/>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14"/>
      <w:szCs w:val="14"/>
      <w:lang w:eastAsia="fr-FR"/>
    </w:rPr>
  </w:style>
  <w:style w:type="paragraph" w:customStyle="1" w:styleId="xl88">
    <w:name w:val="xl88"/>
    <w:basedOn w:val="Normal"/>
    <w:rsid w:val="0077672F"/>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14"/>
      <w:szCs w:val="14"/>
      <w:lang w:eastAsia="fr-FR"/>
    </w:rPr>
  </w:style>
  <w:style w:type="paragraph" w:customStyle="1" w:styleId="xl89">
    <w:name w:val="xl89"/>
    <w:basedOn w:val="Normal"/>
    <w:rsid w:val="0077672F"/>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14"/>
      <w:szCs w:val="14"/>
      <w:lang w:eastAsia="fr-FR"/>
    </w:rPr>
  </w:style>
  <w:style w:type="paragraph" w:customStyle="1" w:styleId="xl90">
    <w:name w:val="xl90"/>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eastAsia="fr-FR"/>
    </w:rPr>
  </w:style>
  <w:style w:type="paragraph" w:customStyle="1" w:styleId="xl91">
    <w:name w:val="xl91"/>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sz w:val="14"/>
      <w:szCs w:val="14"/>
      <w:lang w:eastAsia="fr-FR"/>
    </w:rPr>
  </w:style>
  <w:style w:type="paragraph" w:customStyle="1" w:styleId="xl92">
    <w:name w:val="xl92"/>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color w:val="FF0000"/>
      <w:sz w:val="14"/>
      <w:szCs w:val="14"/>
      <w:lang w:eastAsia="fr-FR"/>
    </w:rPr>
  </w:style>
  <w:style w:type="paragraph" w:customStyle="1" w:styleId="xl93">
    <w:name w:val="xl93"/>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eastAsia="fr-FR"/>
    </w:rPr>
  </w:style>
  <w:style w:type="paragraph" w:customStyle="1" w:styleId="xl94">
    <w:name w:val="xl94"/>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sz w:val="14"/>
      <w:szCs w:val="14"/>
      <w:lang w:eastAsia="fr-FR"/>
    </w:rPr>
  </w:style>
  <w:style w:type="paragraph" w:customStyle="1" w:styleId="xl95">
    <w:name w:val="xl95"/>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D0D0D"/>
      <w:sz w:val="14"/>
      <w:szCs w:val="14"/>
      <w:lang w:eastAsia="fr-FR"/>
    </w:rPr>
  </w:style>
  <w:style w:type="paragraph" w:customStyle="1" w:styleId="xl96">
    <w:name w:val="xl96"/>
    <w:basedOn w:val="Normal"/>
    <w:rsid w:val="0077672F"/>
    <w:pPr>
      <w:pBdr>
        <w:top w:val="single" w:sz="4" w:space="0" w:color="auto"/>
        <w:bottom w:val="single" w:sz="4" w:space="0" w:color="auto"/>
      </w:pBdr>
      <w:shd w:val="clear" w:color="000000" w:fill="C6E0B4"/>
      <w:spacing w:before="100" w:beforeAutospacing="1" w:after="100" w:afterAutospacing="1"/>
      <w:jc w:val="center"/>
      <w:textAlignment w:val="top"/>
    </w:pPr>
    <w:rPr>
      <w:rFonts w:ascii="Arial" w:eastAsia="Times New Roman" w:hAnsi="Arial" w:cs="Arial"/>
      <w:b/>
      <w:bCs/>
      <w:sz w:val="14"/>
      <w:szCs w:val="14"/>
      <w:lang w:eastAsia="fr-FR"/>
    </w:rPr>
  </w:style>
  <w:style w:type="paragraph" w:customStyle="1" w:styleId="xl97">
    <w:name w:val="xl97"/>
    <w:basedOn w:val="Normal"/>
    <w:rsid w:val="0077672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eastAsia="fr-FR"/>
    </w:rPr>
  </w:style>
  <w:style w:type="paragraph" w:customStyle="1" w:styleId="xl98">
    <w:name w:val="xl98"/>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14"/>
      <w:szCs w:val="14"/>
      <w:lang w:eastAsia="fr-FR"/>
    </w:rPr>
  </w:style>
  <w:style w:type="paragraph" w:customStyle="1" w:styleId="xl99">
    <w:name w:val="xl99"/>
    <w:basedOn w:val="Normal"/>
    <w:rsid w:val="0077672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b/>
      <w:bCs/>
      <w:color w:val="000000"/>
      <w:sz w:val="14"/>
      <w:szCs w:val="14"/>
      <w:lang w:eastAsia="fr-FR"/>
    </w:rPr>
  </w:style>
  <w:style w:type="paragraph" w:customStyle="1" w:styleId="xl100">
    <w:name w:val="xl100"/>
    <w:basedOn w:val="Normal"/>
    <w:rsid w:val="0077672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b/>
      <w:bCs/>
      <w:color w:val="000000"/>
      <w:sz w:val="14"/>
      <w:szCs w:val="14"/>
      <w:lang w:eastAsia="fr-FR"/>
    </w:rPr>
  </w:style>
  <w:style w:type="paragraph" w:customStyle="1" w:styleId="xl101">
    <w:name w:val="xl101"/>
    <w:basedOn w:val="Normal"/>
    <w:rsid w:val="0077672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b/>
      <w:bCs/>
      <w:color w:val="000000"/>
      <w:sz w:val="14"/>
      <w:szCs w:val="14"/>
      <w:lang w:eastAsia="fr-FR"/>
    </w:rPr>
  </w:style>
  <w:style w:type="paragraph" w:customStyle="1" w:styleId="xl102">
    <w:name w:val="xl102"/>
    <w:basedOn w:val="Normal"/>
    <w:rsid w:val="0077672F"/>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eastAsia="fr-FR"/>
    </w:rPr>
  </w:style>
  <w:style w:type="paragraph" w:customStyle="1" w:styleId="xl103">
    <w:name w:val="xl103"/>
    <w:basedOn w:val="Normal"/>
    <w:rsid w:val="0077672F"/>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Times New Roman" w:hAnsi="Arial" w:cs="Arial"/>
      <w:b/>
      <w:bCs/>
      <w:sz w:val="14"/>
      <w:szCs w:val="14"/>
      <w:lang w:eastAsia="fr-FR"/>
    </w:rPr>
  </w:style>
  <w:style w:type="paragraph" w:customStyle="1" w:styleId="xl104">
    <w:name w:val="xl104"/>
    <w:basedOn w:val="Normal"/>
    <w:rsid w:val="0077672F"/>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Times New Roman" w:hAnsi="Arial" w:cs="Arial"/>
      <w:b/>
      <w:bCs/>
      <w:sz w:val="14"/>
      <w:szCs w:val="14"/>
      <w:lang w:eastAsia="fr-FR"/>
    </w:rPr>
  </w:style>
  <w:style w:type="paragraph" w:customStyle="1" w:styleId="xl105">
    <w:name w:val="xl105"/>
    <w:basedOn w:val="Normal"/>
    <w:rsid w:val="0077672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eastAsia="fr-FR"/>
    </w:rPr>
  </w:style>
  <w:style w:type="paragraph" w:customStyle="1" w:styleId="xl106">
    <w:name w:val="xl106"/>
    <w:basedOn w:val="Normal"/>
    <w:rsid w:val="0077672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Arial" w:eastAsia="Times New Roman" w:hAnsi="Arial" w:cs="Arial"/>
      <w:b/>
      <w:bCs/>
      <w:color w:val="000000"/>
      <w:sz w:val="14"/>
      <w:szCs w:val="14"/>
      <w:lang w:eastAsia="fr-FR"/>
    </w:rPr>
  </w:style>
  <w:style w:type="paragraph" w:customStyle="1" w:styleId="xl107">
    <w:name w:val="xl107"/>
    <w:basedOn w:val="Normal"/>
    <w:rsid w:val="0077672F"/>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left"/>
      <w:textAlignment w:val="top"/>
    </w:pPr>
    <w:rPr>
      <w:rFonts w:ascii="Arial" w:eastAsia="Times New Roman" w:hAnsi="Arial" w:cs="Arial"/>
      <w:sz w:val="14"/>
      <w:szCs w:val="14"/>
      <w:lang w:eastAsia="fr-FR"/>
    </w:rPr>
  </w:style>
  <w:style w:type="paragraph" w:customStyle="1" w:styleId="xl108">
    <w:name w:val="xl108"/>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0000"/>
      <w:sz w:val="14"/>
      <w:szCs w:val="14"/>
      <w:lang w:eastAsia="fr-FR"/>
    </w:rPr>
  </w:style>
  <w:style w:type="paragraph" w:customStyle="1" w:styleId="xl109">
    <w:name w:val="xl109"/>
    <w:basedOn w:val="Normal"/>
    <w:rsid w:val="0077672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b/>
      <w:bCs/>
      <w:color w:val="000000"/>
      <w:sz w:val="14"/>
      <w:szCs w:val="14"/>
      <w:lang w:eastAsia="fr-FR"/>
    </w:rPr>
  </w:style>
  <w:style w:type="paragraph" w:customStyle="1" w:styleId="xl110">
    <w:name w:val="xl110"/>
    <w:basedOn w:val="Normal"/>
    <w:rsid w:val="0077672F"/>
    <w:pPr>
      <w:pBdr>
        <w:top w:val="single" w:sz="4" w:space="0" w:color="auto"/>
        <w:left w:val="single" w:sz="4" w:space="0" w:color="auto"/>
        <w:right w:val="single" w:sz="4" w:space="0" w:color="auto"/>
      </w:pBdr>
      <w:spacing w:before="100" w:beforeAutospacing="1" w:after="100" w:afterAutospacing="1"/>
      <w:jc w:val="left"/>
      <w:textAlignment w:val="top"/>
    </w:pPr>
    <w:rPr>
      <w:rFonts w:ascii="Arial" w:eastAsia="Times New Roman" w:hAnsi="Arial" w:cs="Arial"/>
      <w:color w:val="000000"/>
      <w:sz w:val="14"/>
      <w:szCs w:val="14"/>
      <w:lang w:eastAsia="fr-FR"/>
    </w:rPr>
  </w:style>
  <w:style w:type="paragraph" w:customStyle="1" w:styleId="xl111">
    <w:name w:val="xl111"/>
    <w:basedOn w:val="Normal"/>
    <w:rsid w:val="0077672F"/>
    <w:pPr>
      <w:pBdr>
        <w:top w:val="single" w:sz="4" w:space="0" w:color="auto"/>
        <w:left w:val="single" w:sz="4" w:space="0" w:color="auto"/>
        <w:right w:val="single" w:sz="4" w:space="0" w:color="auto"/>
      </w:pBdr>
      <w:spacing w:before="100" w:beforeAutospacing="1" w:after="100" w:afterAutospacing="1"/>
      <w:jc w:val="left"/>
      <w:textAlignment w:val="center"/>
    </w:pPr>
    <w:rPr>
      <w:rFonts w:ascii="Arial" w:eastAsia="Times New Roman" w:hAnsi="Arial" w:cs="Arial"/>
      <w:sz w:val="14"/>
      <w:szCs w:val="14"/>
      <w:lang w:eastAsia="fr-FR"/>
    </w:rPr>
  </w:style>
  <w:style w:type="paragraph" w:customStyle="1" w:styleId="xl112">
    <w:name w:val="xl112"/>
    <w:basedOn w:val="Normal"/>
    <w:rsid w:val="0077672F"/>
    <w:pPr>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b/>
      <w:bCs/>
      <w:color w:val="000000"/>
      <w:sz w:val="14"/>
      <w:szCs w:val="14"/>
      <w:lang w:eastAsia="fr-FR"/>
    </w:rPr>
  </w:style>
  <w:style w:type="paragraph" w:customStyle="1" w:styleId="xl113">
    <w:name w:val="xl113"/>
    <w:basedOn w:val="Normal"/>
    <w:rsid w:val="0077672F"/>
    <w:pPr>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b/>
      <w:bCs/>
      <w:color w:val="000000"/>
      <w:sz w:val="14"/>
      <w:szCs w:val="14"/>
      <w:lang w:eastAsia="fr-FR"/>
    </w:rPr>
  </w:style>
  <w:style w:type="paragraph" w:customStyle="1" w:styleId="xl114">
    <w:name w:val="xl114"/>
    <w:basedOn w:val="Normal"/>
    <w:rsid w:val="0077672F"/>
    <w:pPr>
      <w:pBdr>
        <w:top w:val="single" w:sz="4" w:space="0" w:color="auto"/>
        <w:left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b/>
      <w:bCs/>
      <w:color w:val="000000"/>
      <w:sz w:val="14"/>
      <w:szCs w:val="14"/>
      <w:lang w:eastAsia="fr-FR"/>
    </w:rPr>
  </w:style>
  <w:style w:type="paragraph" w:customStyle="1" w:styleId="xl115">
    <w:name w:val="xl115"/>
    <w:basedOn w:val="Normal"/>
    <w:rsid w:val="0077672F"/>
    <w:pPr>
      <w:pBdr>
        <w:top w:val="single" w:sz="4" w:space="0" w:color="auto"/>
        <w:left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b/>
      <w:bCs/>
      <w:color w:val="000000"/>
      <w:sz w:val="14"/>
      <w:szCs w:val="14"/>
      <w:lang w:eastAsia="fr-FR"/>
    </w:rPr>
  </w:style>
  <w:style w:type="paragraph" w:customStyle="1" w:styleId="xl116">
    <w:name w:val="xl116"/>
    <w:basedOn w:val="Normal"/>
    <w:rsid w:val="0077672F"/>
    <w:pPr>
      <w:pBdr>
        <w:left w:val="single" w:sz="4" w:space="0" w:color="auto"/>
      </w:pBdr>
      <w:spacing w:before="100" w:beforeAutospacing="1" w:after="100" w:afterAutospacing="1"/>
      <w:jc w:val="center"/>
      <w:textAlignment w:val="center"/>
    </w:pPr>
    <w:rPr>
      <w:rFonts w:ascii="Arial" w:eastAsia="Times New Roman" w:hAnsi="Arial" w:cs="Arial"/>
      <w:color w:val="000000"/>
      <w:sz w:val="14"/>
      <w:szCs w:val="14"/>
      <w:lang w:eastAsia="fr-FR"/>
    </w:rPr>
  </w:style>
  <w:style w:type="paragraph" w:customStyle="1" w:styleId="xl117">
    <w:name w:val="xl117"/>
    <w:basedOn w:val="Normal"/>
    <w:rsid w:val="0077672F"/>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color w:val="000000"/>
      <w:sz w:val="14"/>
      <w:szCs w:val="14"/>
      <w:lang w:eastAsia="fr-FR"/>
    </w:rPr>
  </w:style>
  <w:style w:type="paragraph" w:customStyle="1" w:styleId="xl118">
    <w:name w:val="xl118"/>
    <w:basedOn w:val="Normal"/>
    <w:rsid w:val="0077672F"/>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color w:val="000000"/>
      <w:sz w:val="14"/>
      <w:szCs w:val="14"/>
      <w:lang w:eastAsia="fr-FR"/>
    </w:rPr>
  </w:style>
  <w:style w:type="paragraph" w:customStyle="1" w:styleId="xl119">
    <w:name w:val="xl119"/>
    <w:basedOn w:val="Normal"/>
    <w:rsid w:val="0077672F"/>
    <w:pPr>
      <w:pBdr>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color w:val="000000"/>
      <w:sz w:val="14"/>
      <w:szCs w:val="14"/>
      <w:lang w:eastAsia="fr-FR"/>
    </w:rPr>
  </w:style>
  <w:style w:type="paragraph" w:customStyle="1" w:styleId="xl120">
    <w:name w:val="xl120"/>
    <w:basedOn w:val="Normal"/>
    <w:rsid w:val="0077672F"/>
    <w:pPr>
      <w:pBdr>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14"/>
      <w:szCs w:val="14"/>
      <w:lang w:eastAsia="fr-FR"/>
    </w:rPr>
  </w:style>
  <w:style w:type="paragraph" w:customStyle="1" w:styleId="xl121">
    <w:name w:val="xl121"/>
    <w:basedOn w:val="Normal"/>
    <w:rsid w:val="0077672F"/>
    <w:pPr>
      <w:pBdr>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b/>
      <w:bCs/>
      <w:color w:val="000000"/>
      <w:sz w:val="14"/>
      <w:szCs w:val="14"/>
      <w:lang w:eastAsia="fr-FR"/>
    </w:rPr>
  </w:style>
  <w:style w:type="paragraph" w:customStyle="1" w:styleId="xl122">
    <w:name w:val="xl122"/>
    <w:basedOn w:val="Normal"/>
    <w:rsid w:val="0077672F"/>
    <w:pPr>
      <w:pBdr>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b/>
      <w:bCs/>
      <w:color w:val="000000"/>
      <w:sz w:val="14"/>
      <w:szCs w:val="14"/>
      <w:lang w:eastAsia="fr-FR"/>
    </w:rPr>
  </w:style>
  <w:style w:type="paragraph" w:customStyle="1" w:styleId="xl123">
    <w:name w:val="xl123"/>
    <w:basedOn w:val="Normal"/>
    <w:rsid w:val="0077672F"/>
    <w:pPr>
      <w:pBdr>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b/>
      <w:bCs/>
      <w:color w:val="000000"/>
      <w:sz w:val="14"/>
      <w:szCs w:val="14"/>
      <w:lang w:eastAsia="fr-FR"/>
    </w:rPr>
  </w:style>
  <w:style w:type="paragraph" w:customStyle="1" w:styleId="xl124">
    <w:name w:val="xl124"/>
    <w:basedOn w:val="Normal"/>
    <w:rsid w:val="0077672F"/>
    <w:pPr>
      <w:pBdr>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b/>
      <w:bCs/>
      <w:color w:val="000000"/>
      <w:sz w:val="14"/>
      <w:szCs w:val="14"/>
      <w:lang w:eastAsia="fr-FR"/>
    </w:rPr>
  </w:style>
  <w:style w:type="paragraph" w:customStyle="1" w:styleId="xl125">
    <w:name w:val="xl125"/>
    <w:basedOn w:val="Normal"/>
    <w:rsid w:val="0077672F"/>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left"/>
      <w:textAlignment w:val="top"/>
    </w:pPr>
    <w:rPr>
      <w:rFonts w:ascii="Arial" w:eastAsia="Times New Roman" w:hAnsi="Arial" w:cs="Arial"/>
      <w:b/>
      <w:bCs/>
      <w:sz w:val="14"/>
      <w:szCs w:val="14"/>
      <w:lang w:eastAsia="fr-FR"/>
    </w:rPr>
  </w:style>
  <w:style w:type="paragraph" w:customStyle="1" w:styleId="xl126">
    <w:name w:val="xl126"/>
    <w:basedOn w:val="Normal"/>
    <w:rsid w:val="0077672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Times New Roman" w:hAnsi="Arial" w:cs="Arial"/>
      <w:b/>
      <w:bCs/>
      <w:color w:val="000000"/>
      <w:sz w:val="14"/>
      <w:szCs w:val="14"/>
      <w:lang w:eastAsia="fr-FR"/>
    </w:rPr>
  </w:style>
  <w:style w:type="paragraph" w:customStyle="1" w:styleId="xl127">
    <w:name w:val="xl127"/>
    <w:basedOn w:val="Normal"/>
    <w:rsid w:val="0077672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b/>
      <w:bCs/>
      <w:color w:val="000000"/>
      <w:sz w:val="14"/>
      <w:szCs w:val="14"/>
      <w:lang w:eastAsia="fr-FR"/>
    </w:rPr>
  </w:style>
  <w:style w:type="paragraph" w:customStyle="1" w:styleId="xl128">
    <w:name w:val="xl128"/>
    <w:basedOn w:val="Normal"/>
    <w:rsid w:val="0077672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color w:val="000000"/>
      <w:sz w:val="14"/>
      <w:szCs w:val="1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89161">
      <w:bodyDiv w:val="1"/>
      <w:marLeft w:val="0"/>
      <w:marRight w:val="0"/>
      <w:marTop w:val="0"/>
      <w:marBottom w:val="0"/>
      <w:divBdr>
        <w:top w:val="none" w:sz="0" w:space="0" w:color="auto"/>
        <w:left w:val="none" w:sz="0" w:space="0" w:color="auto"/>
        <w:bottom w:val="none" w:sz="0" w:space="0" w:color="auto"/>
        <w:right w:val="none" w:sz="0" w:space="0" w:color="auto"/>
      </w:divBdr>
    </w:div>
    <w:div w:id="61687017">
      <w:bodyDiv w:val="1"/>
      <w:marLeft w:val="0"/>
      <w:marRight w:val="0"/>
      <w:marTop w:val="0"/>
      <w:marBottom w:val="0"/>
      <w:divBdr>
        <w:top w:val="none" w:sz="0" w:space="0" w:color="auto"/>
        <w:left w:val="none" w:sz="0" w:space="0" w:color="auto"/>
        <w:bottom w:val="none" w:sz="0" w:space="0" w:color="auto"/>
        <w:right w:val="none" w:sz="0" w:space="0" w:color="auto"/>
      </w:divBdr>
    </w:div>
    <w:div w:id="82344060">
      <w:bodyDiv w:val="1"/>
      <w:marLeft w:val="0"/>
      <w:marRight w:val="0"/>
      <w:marTop w:val="0"/>
      <w:marBottom w:val="0"/>
      <w:divBdr>
        <w:top w:val="none" w:sz="0" w:space="0" w:color="auto"/>
        <w:left w:val="none" w:sz="0" w:space="0" w:color="auto"/>
        <w:bottom w:val="none" w:sz="0" w:space="0" w:color="auto"/>
        <w:right w:val="none" w:sz="0" w:space="0" w:color="auto"/>
      </w:divBdr>
    </w:div>
    <w:div w:id="85931635">
      <w:bodyDiv w:val="1"/>
      <w:marLeft w:val="0"/>
      <w:marRight w:val="0"/>
      <w:marTop w:val="0"/>
      <w:marBottom w:val="0"/>
      <w:divBdr>
        <w:top w:val="none" w:sz="0" w:space="0" w:color="auto"/>
        <w:left w:val="none" w:sz="0" w:space="0" w:color="auto"/>
        <w:bottom w:val="none" w:sz="0" w:space="0" w:color="auto"/>
        <w:right w:val="none" w:sz="0" w:space="0" w:color="auto"/>
      </w:divBdr>
    </w:div>
    <w:div w:id="95249741">
      <w:bodyDiv w:val="1"/>
      <w:marLeft w:val="0"/>
      <w:marRight w:val="0"/>
      <w:marTop w:val="0"/>
      <w:marBottom w:val="0"/>
      <w:divBdr>
        <w:top w:val="none" w:sz="0" w:space="0" w:color="auto"/>
        <w:left w:val="none" w:sz="0" w:space="0" w:color="auto"/>
        <w:bottom w:val="none" w:sz="0" w:space="0" w:color="auto"/>
        <w:right w:val="none" w:sz="0" w:space="0" w:color="auto"/>
      </w:divBdr>
    </w:div>
    <w:div w:id="142356602">
      <w:bodyDiv w:val="1"/>
      <w:marLeft w:val="0"/>
      <w:marRight w:val="0"/>
      <w:marTop w:val="0"/>
      <w:marBottom w:val="0"/>
      <w:divBdr>
        <w:top w:val="none" w:sz="0" w:space="0" w:color="auto"/>
        <w:left w:val="none" w:sz="0" w:space="0" w:color="auto"/>
        <w:bottom w:val="none" w:sz="0" w:space="0" w:color="auto"/>
        <w:right w:val="none" w:sz="0" w:space="0" w:color="auto"/>
      </w:divBdr>
    </w:div>
    <w:div w:id="155652478">
      <w:bodyDiv w:val="1"/>
      <w:marLeft w:val="0"/>
      <w:marRight w:val="0"/>
      <w:marTop w:val="0"/>
      <w:marBottom w:val="0"/>
      <w:divBdr>
        <w:top w:val="none" w:sz="0" w:space="0" w:color="auto"/>
        <w:left w:val="none" w:sz="0" w:space="0" w:color="auto"/>
        <w:bottom w:val="none" w:sz="0" w:space="0" w:color="auto"/>
        <w:right w:val="none" w:sz="0" w:space="0" w:color="auto"/>
      </w:divBdr>
    </w:div>
    <w:div w:id="165873088">
      <w:bodyDiv w:val="1"/>
      <w:marLeft w:val="0"/>
      <w:marRight w:val="0"/>
      <w:marTop w:val="0"/>
      <w:marBottom w:val="0"/>
      <w:divBdr>
        <w:top w:val="none" w:sz="0" w:space="0" w:color="auto"/>
        <w:left w:val="none" w:sz="0" w:space="0" w:color="auto"/>
        <w:bottom w:val="none" w:sz="0" w:space="0" w:color="auto"/>
        <w:right w:val="none" w:sz="0" w:space="0" w:color="auto"/>
      </w:divBdr>
    </w:div>
    <w:div w:id="181405678">
      <w:bodyDiv w:val="1"/>
      <w:marLeft w:val="0"/>
      <w:marRight w:val="0"/>
      <w:marTop w:val="0"/>
      <w:marBottom w:val="0"/>
      <w:divBdr>
        <w:top w:val="none" w:sz="0" w:space="0" w:color="auto"/>
        <w:left w:val="none" w:sz="0" w:space="0" w:color="auto"/>
        <w:bottom w:val="none" w:sz="0" w:space="0" w:color="auto"/>
        <w:right w:val="none" w:sz="0" w:space="0" w:color="auto"/>
      </w:divBdr>
    </w:div>
    <w:div w:id="184101858">
      <w:bodyDiv w:val="1"/>
      <w:marLeft w:val="0"/>
      <w:marRight w:val="0"/>
      <w:marTop w:val="0"/>
      <w:marBottom w:val="0"/>
      <w:divBdr>
        <w:top w:val="none" w:sz="0" w:space="0" w:color="auto"/>
        <w:left w:val="none" w:sz="0" w:space="0" w:color="auto"/>
        <w:bottom w:val="none" w:sz="0" w:space="0" w:color="auto"/>
        <w:right w:val="none" w:sz="0" w:space="0" w:color="auto"/>
      </w:divBdr>
    </w:div>
    <w:div w:id="189684256">
      <w:bodyDiv w:val="1"/>
      <w:marLeft w:val="0"/>
      <w:marRight w:val="0"/>
      <w:marTop w:val="0"/>
      <w:marBottom w:val="0"/>
      <w:divBdr>
        <w:top w:val="none" w:sz="0" w:space="0" w:color="auto"/>
        <w:left w:val="none" w:sz="0" w:space="0" w:color="auto"/>
        <w:bottom w:val="none" w:sz="0" w:space="0" w:color="auto"/>
        <w:right w:val="none" w:sz="0" w:space="0" w:color="auto"/>
      </w:divBdr>
    </w:div>
    <w:div w:id="230429209">
      <w:bodyDiv w:val="1"/>
      <w:marLeft w:val="0"/>
      <w:marRight w:val="0"/>
      <w:marTop w:val="0"/>
      <w:marBottom w:val="0"/>
      <w:divBdr>
        <w:top w:val="none" w:sz="0" w:space="0" w:color="auto"/>
        <w:left w:val="none" w:sz="0" w:space="0" w:color="auto"/>
        <w:bottom w:val="none" w:sz="0" w:space="0" w:color="auto"/>
        <w:right w:val="none" w:sz="0" w:space="0" w:color="auto"/>
      </w:divBdr>
    </w:div>
    <w:div w:id="267926932">
      <w:bodyDiv w:val="1"/>
      <w:marLeft w:val="0"/>
      <w:marRight w:val="0"/>
      <w:marTop w:val="0"/>
      <w:marBottom w:val="0"/>
      <w:divBdr>
        <w:top w:val="none" w:sz="0" w:space="0" w:color="auto"/>
        <w:left w:val="none" w:sz="0" w:space="0" w:color="auto"/>
        <w:bottom w:val="none" w:sz="0" w:space="0" w:color="auto"/>
        <w:right w:val="none" w:sz="0" w:space="0" w:color="auto"/>
      </w:divBdr>
    </w:div>
    <w:div w:id="273248208">
      <w:bodyDiv w:val="1"/>
      <w:marLeft w:val="0"/>
      <w:marRight w:val="0"/>
      <w:marTop w:val="0"/>
      <w:marBottom w:val="0"/>
      <w:divBdr>
        <w:top w:val="none" w:sz="0" w:space="0" w:color="auto"/>
        <w:left w:val="none" w:sz="0" w:space="0" w:color="auto"/>
        <w:bottom w:val="none" w:sz="0" w:space="0" w:color="auto"/>
        <w:right w:val="none" w:sz="0" w:space="0" w:color="auto"/>
      </w:divBdr>
    </w:div>
    <w:div w:id="286471460">
      <w:bodyDiv w:val="1"/>
      <w:marLeft w:val="0"/>
      <w:marRight w:val="0"/>
      <w:marTop w:val="0"/>
      <w:marBottom w:val="0"/>
      <w:divBdr>
        <w:top w:val="none" w:sz="0" w:space="0" w:color="auto"/>
        <w:left w:val="none" w:sz="0" w:space="0" w:color="auto"/>
        <w:bottom w:val="none" w:sz="0" w:space="0" w:color="auto"/>
        <w:right w:val="none" w:sz="0" w:space="0" w:color="auto"/>
      </w:divBdr>
    </w:div>
    <w:div w:id="334381735">
      <w:bodyDiv w:val="1"/>
      <w:marLeft w:val="0"/>
      <w:marRight w:val="0"/>
      <w:marTop w:val="0"/>
      <w:marBottom w:val="0"/>
      <w:divBdr>
        <w:top w:val="none" w:sz="0" w:space="0" w:color="auto"/>
        <w:left w:val="none" w:sz="0" w:space="0" w:color="auto"/>
        <w:bottom w:val="none" w:sz="0" w:space="0" w:color="auto"/>
        <w:right w:val="none" w:sz="0" w:space="0" w:color="auto"/>
      </w:divBdr>
    </w:div>
    <w:div w:id="350181457">
      <w:bodyDiv w:val="1"/>
      <w:marLeft w:val="0"/>
      <w:marRight w:val="0"/>
      <w:marTop w:val="0"/>
      <w:marBottom w:val="0"/>
      <w:divBdr>
        <w:top w:val="none" w:sz="0" w:space="0" w:color="auto"/>
        <w:left w:val="none" w:sz="0" w:space="0" w:color="auto"/>
        <w:bottom w:val="none" w:sz="0" w:space="0" w:color="auto"/>
        <w:right w:val="none" w:sz="0" w:space="0" w:color="auto"/>
      </w:divBdr>
    </w:div>
    <w:div w:id="360670531">
      <w:bodyDiv w:val="1"/>
      <w:marLeft w:val="0"/>
      <w:marRight w:val="0"/>
      <w:marTop w:val="0"/>
      <w:marBottom w:val="0"/>
      <w:divBdr>
        <w:top w:val="none" w:sz="0" w:space="0" w:color="auto"/>
        <w:left w:val="none" w:sz="0" w:space="0" w:color="auto"/>
        <w:bottom w:val="none" w:sz="0" w:space="0" w:color="auto"/>
        <w:right w:val="none" w:sz="0" w:space="0" w:color="auto"/>
      </w:divBdr>
    </w:div>
    <w:div w:id="385379832">
      <w:bodyDiv w:val="1"/>
      <w:marLeft w:val="0"/>
      <w:marRight w:val="0"/>
      <w:marTop w:val="0"/>
      <w:marBottom w:val="0"/>
      <w:divBdr>
        <w:top w:val="none" w:sz="0" w:space="0" w:color="auto"/>
        <w:left w:val="none" w:sz="0" w:space="0" w:color="auto"/>
        <w:bottom w:val="none" w:sz="0" w:space="0" w:color="auto"/>
        <w:right w:val="none" w:sz="0" w:space="0" w:color="auto"/>
      </w:divBdr>
    </w:div>
    <w:div w:id="406848971">
      <w:bodyDiv w:val="1"/>
      <w:marLeft w:val="0"/>
      <w:marRight w:val="0"/>
      <w:marTop w:val="0"/>
      <w:marBottom w:val="0"/>
      <w:divBdr>
        <w:top w:val="none" w:sz="0" w:space="0" w:color="auto"/>
        <w:left w:val="none" w:sz="0" w:space="0" w:color="auto"/>
        <w:bottom w:val="none" w:sz="0" w:space="0" w:color="auto"/>
        <w:right w:val="none" w:sz="0" w:space="0" w:color="auto"/>
      </w:divBdr>
    </w:div>
    <w:div w:id="438767191">
      <w:bodyDiv w:val="1"/>
      <w:marLeft w:val="0"/>
      <w:marRight w:val="0"/>
      <w:marTop w:val="0"/>
      <w:marBottom w:val="0"/>
      <w:divBdr>
        <w:top w:val="none" w:sz="0" w:space="0" w:color="auto"/>
        <w:left w:val="none" w:sz="0" w:space="0" w:color="auto"/>
        <w:bottom w:val="none" w:sz="0" w:space="0" w:color="auto"/>
        <w:right w:val="none" w:sz="0" w:space="0" w:color="auto"/>
      </w:divBdr>
    </w:div>
    <w:div w:id="454913338">
      <w:bodyDiv w:val="1"/>
      <w:marLeft w:val="0"/>
      <w:marRight w:val="0"/>
      <w:marTop w:val="0"/>
      <w:marBottom w:val="0"/>
      <w:divBdr>
        <w:top w:val="none" w:sz="0" w:space="0" w:color="auto"/>
        <w:left w:val="none" w:sz="0" w:space="0" w:color="auto"/>
        <w:bottom w:val="none" w:sz="0" w:space="0" w:color="auto"/>
        <w:right w:val="none" w:sz="0" w:space="0" w:color="auto"/>
      </w:divBdr>
    </w:div>
    <w:div w:id="480000485">
      <w:bodyDiv w:val="1"/>
      <w:marLeft w:val="0"/>
      <w:marRight w:val="0"/>
      <w:marTop w:val="0"/>
      <w:marBottom w:val="0"/>
      <w:divBdr>
        <w:top w:val="none" w:sz="0" w:space="0" w:color="auto"/>
        <w:left w:val="none" w:sz="0" w:space="0" w:color="auto"/>
        <w:bottom w:val="none" w:sz="0" w:space="0" w:color="auto"/>
        <w:right w:val="none" w:sz="0" w:space="0" w:color="auto"/>
      </w:divBdr>
    </w:div>
    <w:div w:id="486941390">
      <w:bodyDiv w:val="1"/>
      <w:marLeft w:val="0"/>
      <w:marRight w:val="0"/>
      <w:marTop w:val="0"/>
      <w:marBottom w:val="0"/>
      <w:divBdr>
        <w:top w:val="none" w:sz="0" w:space="0" w:color="auto"/>
        <w:left w:val="none" w:sz="0" w:space="0" w:color="auto"/>
        <w:bottom w:val="none" w:sz="0" w:space="0" w:color="auto"/>
        <w:right w:val="none" w:sz="0" w:space="0" w:color="auto"/>
      </w:divBdr>
    </w:div>
    <w:div w:id="502210621">
      <w:bodyDiv w:val="1"/>
      <w:marLeft w:val="0"/>
      <w:marRight w:val="0"/>
      <w:marTop w:val="0"/>
      <w:marBottom w:val="0"/>
      <w:divBdr>
        <w:top w:val="none" w:sz="0" w:space="0" w:color="auto"/>
        <w:left w:val="none" w:sz="0" w:space="0" w:color="auto"/>
        <w:bottom w:val="none" w:sz="0" w:space="0" w:color="auto"/>
        <w:right w:val="none" w:sz="0" w:space="0" w:color="auto"/>
      </w:divBdr>
    </w:div>
    <w:div w:id="518737216">
      <w:bodyDiv w:val="1"/>
      <w:marLeft w:val="0"/>
      <w:marRight w:val="0"/>
      <w:marTop w:val="0"/>
      <w:marBottom w:val="0"/>
      <w:divBdr>
        <w:top w:val="none" w:sz="0" w:space="0" w:color="auto"/>
        <w:left w:val="none" w:sz="0" w:space="0" w:color="auto"/>
        <w:bottom w:val="none" w:sz="0" w:space="0" w:color="auto"/>
        <w:right w:val="none" w:sz="0" w:space="0" w:color="auto"/>
      </w:divBdr>
    </w:div>
    <w:div w:id="543366576">
      <w:bodyDiv w:val="1"/>
      <w:marLeft w:val="0"/>
      <w:marRight w:val="0"/>
      <w:marTop w:val="0"/>
      <w:marBottom w:val="0"/>
      <w:divBdr>
        <w:top w:val="none" w:sz="0" w:space="0" w:color="auto"/>
        <w:left w:val="none" w:sz="0" w:space="0" w:color="auto"/>
        <w:bottom w:val="none" w:sz="0" w:space="0" w:color="auto"/>
        <w:right w:val="none" w:sz="0" w:space="0" w:color="auto"/>
      </w:divBdr>
    </w:div>
    <w:div w:id="568662170">
      <w:bodyDiv w:val="1"/>
      <w:marLeft w:val="0"/>
      <w:marRight w:val="0"/>
      <w:marTop w:val="0"/>
      <w:marBottom w:val="0"/>
      <w:divBdr>
        <w:top w:val="none" w:sz="0" w:space="0" w:color="auto"/>
        <w:left w:val="none" w:sz="0" w:space="0" w:color="auto"/>
        <w:bottom w:val="none" w:sz="0" w:space="0" w:color="auto"/>
        <w:right w:val="none" w:sz="0" w:space="0" w:color="auto"/>
      </w:divBdr>
    </w:div>
    <w:div w:id="598369016">
      <w:bodyDiv w:val="1"/>
      <w:marLeft w:val="0"/>
      <w:marRight w:val="0"/>
      <w:marTop w:val="0"/>
      <w:marBottom w:val="0"/>
      <w:divBdr>
        <w:top w:val="none" w:sz="0" w:space="0" w:color="auto"/>
        <w:left w:val="none" w:sz="0" w:space="0" w:color="auto"/>
        <w:bottom w:val="none" w:sz="0" w:space="0" w:color="auto"/>
        <w:right w:val="none" w:sz="0" w:space="0" w:color="auto"/>
      </w:divBdr>
    </w:div>
    <w:div w:id="603153605">
      <w:bodyDiv w:val="1"/>
      <w:marLeft w:val="0"/>
      <w:marRight w:val="0"/>
      <w:marTop w:val="0"/>
      <w:marBottom w:val="0"/>
      <w:divBdr>
        <w:top w:val="none" w:sz="0" w:space="0" w:color="auto"/>
        <w:left w:val="none" w:sz="0" w:space="0" w:color="auto"/>
        <w:bottom w:val="none" w:sz="0" w:space="0" w:color="auto"/>
        <w:right w:val="none" w:sz="0" w:space="0" w:color="auto"/>
      </w:divBdr>
    </w:div>
    <w:div w:id="608007551">
      <w:bodyDiv w:val="1"/>
      <w:marLeft w:val="0"/>
      <w:marRight w:val="0"/>
      <w:marTop w:val="0"/>
      <w:marBottom w:val="0"/>
      <w:divBdr>
        <w:top w:val="none" w:sz="0" w:space="0" w:color="auto"/>
        <w:left w:val="none" w:sz="0" w:space="0" w:color="auto"/>
        <w:bottom w:val="none" w:sz="0" w:space="0" w:color="auto"/>
        <w:right w:val="none" w:sz="0" w:space="0" w:color="auto"/>
      </w:divBdr>
    </w:div>
    <w:div w:id="612052149">
      <w:bodyDiv w:val="1"/>
      <w:marLeft w:val="0"/>
      <w:marRight w:val="0"/>
      <w:marTop w:val="0"/>
      <w:marBottom w:val="0"/>
      <w:divBdr>
        <w:top w:val="none" w:sz="0" w:space="0" w:color="auto"/>
        <w:left w:val="none" w:sz="0" w:space="0" w:color="auto"/>
        <w:bottom w:val="none" w:sz="0" w:space="0" w:color="auto"/>
        <w:right w:val="none" w:sz="0" w:space="0" w:color="auto"/>
      </w:divBdr>
    </w:div>
    <w:div w:id="615016999">
      <w:bodyDiv w:val="1"/>
      <w:marLeft w:val="0"/>
      <w:marRight w:val="0"/>
      <w:marTop w:val="0"/>
      <w:marBottom w:val="0"/>
      <w:divBdr>
        <w:top w:val="none" w:sz="0" w:space="0" w:color="auto"/>
        <w:left w:val="none" w:sz="0" w:space="0" w:color="auto"/>
        <w:bottom w:val="none" w:sz="0" w:space="0" w:color="auto"/>
        <w:right w:val="none" w:sz="0" w:space="0" w:color="auto"/>
      </w:divBdr>
    </w:div>
    <w:div w:id="616788826">
      <w:bodyDiv w:val="1"/>
      <w:marLeft w:val="0"/>
      <w:marRight w:val="0"/>
      <w:marTop w:val="0"/>
      <w:marBottom w:val="0"/>
      <w:divBdr>
        <w:top w:val="none" w:sz="0" w:space="0" w:color="auto"/>
        <w:left w:val="none" w:sz="0" w:space="0" w:color="auto"/>
        <w:bottom w:val="none" w:sz="0" w:space="0" w:color="auto"/>
        <w:right w:val="none" w:sz="0" w:space="0" w:color="auto"/>
      </w:divBdr>
    </w:div>
    <w:div w:id="617417589">
      <w:bodyDiv w:val="1"/>
      <w:marLeft w:val="0"/>
      <w:marRight w:val="0"/>
      <w:marTop w:val="0"/>
      <w:marBottom w:val="0"/>
      <w:divBdr>
        <w:top w:val="none" w:sz="0" w:space="0" w:color="auto"/>
        <w:left w:val="none" w:sz="0" w:space="0" w:color="auto"/>
        <w:bottom w:val="none" w:sz="0" w:space="0" w:color="auto"/>
        <w:right w:val="none" w:sz="0" w:space="0" w:color="auto"/>
      </w:divBdr>
    </w:div>
    <w:div w:id="693115617">
      <w:bodyDiv w:val="1"/>
      <w:marLeft w:val="0"/>
      <w:marRight w:val="0"/>
      <w:marTop w:val="0"/>
      <w:marBottom w:val="0"/>
      <w:divBdr>
        <w:top w:val="none" w:sz="0" w:space="0" w:color="auto"/>
        <w:left w:val="none" w:sz="0" w:space="0" w:color="auto"/>
        <w:bottom w:val="none" w:sz="0" w:space="0" w:color="auto"/>
        <w:right w:val="none" w:sz="0" w:space="0" w:color="auto"/>
      </w:divBdr>
    </w:div>
    <w:div w:id="725496410">
      <w:bodyDiv w:val="1"/>
      <w:marLeft w:val="0"/>
      <w:marRight w:val="0"/>
      <w:marTop w:val="0"/>
      <w:marBottom w:val="0"/>
      <w:divBdr>
        <w:top w:val="none" w:sz="0" w:space="0" w:color="auto"/>
        <w:left w:val="none" w:sz="0" w:space="0" w:color="auto"/>
        <w:bottom w:val="none" w:sz="0" w:space="0" w:color="auto"/>
        <w:right w:val="none" w:sz="0" w:space="0" w:color="auto"/>
      </w:divBdr>
    </w:div>
    <w:div w:id="735005960">
      <w:bodyDiv w:val="1"/>
      <w:marLeft w:val="0"/>
      <w:marRight w:val="0"/>
      <w:marTop w:val="0"/>
      <w:marBottom w:val="0"/>
      <w:divBdr>
        <w:top w:val="none" w:sz="0" w:space="0" w:color="auto"/>
        <w:left w:val="none" w:sz="0" w:space="0" w:color="auto"/>
        <w:bottom w:val="none" w:sz="0" w:space="0" w:color="auto"/>
        <w:right w:val="none" w:sz="0" w:space="0" w:color="auto"/>
      </w:divBdr>
    </w:div>
    <w:div w:id="862522918">
      <w:bodyDiv w:val="1"/>
      <w:marLeft w:val="0"/>
      <w:marRight w:val="0"/>
      <w:marTop w:val="0"/>
      <w:marBottom w:val="0"/>
      <w:divBdr>
        <w:top w:val="none" w:sz="0" w:space="0" w:color="auto"/>
        <w:left w:val="none" w:sz="0" w:space="0" w:color="auto"/>
        <w:bottom w:val="none" w:sz="0" w:space="0" w:color="auto"/>
        <w:right w:val="none" w:sz="0" w:space="0" w:color="auto"/>
      </w:divBdr>
    </w:div>
    <w:div w:id="863597297">
      <w:bodyDiv w:val="1"/>
      <w:marLeft w:val="0"/>
      <w:marRight w:val="0"/>
      <w:marTop w:val="0"/>
      <w:marBottom w:val="0"/>
      <w:divBdr>
        <w:top w:val="none" w:sz="0" w:space="0" w:color="auto"/>
        <w:left w:val="none" w:sz="0" w:space="0" w:color="auto"/>
        <w:bottom w:val="none" w:sz="0" w:space="0" w:color="auto"/>
        <w:right w:val="none" w:sz="0" w:space="0" w:color="auto"/>
      </w:divBdr>
    </w:div>
    <w:div w:id="865215229">
      <w:bodyDiv w:val="1"/>
      <w:marLeft w:val="0"/>
      <w:marRight w:val="0"/>
      <w:marTop w:val="0"/>
      <w:marBottom w:val="0"/>
      <w:divBdr>
        <w:top w:val="none" w:sz="0" w:space="0" w:color="auto"/>
        <w:left w:val="none" w:sz="0" w:space="0" w:color="auto"/>
        <w:bottom w:val="none" w:sz="0" w:space="0" w:color="auto"/>
        <w:right w:val="none" w:sz="0" w:space="0" w:color="auto"/>
      </w:divBdr>
    </w:div>
    <w:div w:id="893389971">
      <w:bodyDiv w:val="1"/>
      <w:marLeft w:val="0"/>
      <w:marRight w:val="0"/>
      <w:marTop w:val="0"/>
      <w:marBottom w:val="0"/>
      <w:divBdr>
        <w:top w:val="none" w:sz="0" w:space="0" w:color="auto"/>
        <w:left w:val="none" w:sz="0" w:space="0" w:color="auto"/>
        <w:bottom w:val="none" w:sz="0" w:space="0" w:color="auto"/>
        <w:right w:val="none" w:sz="0" w:space="0" w:color="auto"/>
      </w:divBdr>
    </w:div>
    <w:div w:id="907233261">
      <w:bodyDiv w:val="1"/>
      <w:marLeft w:val="0"/>
      <w:marRight w:val="0"/>
      <w:marTop w:val="0"/>
      <w:marBottom w:val="0"/>
      <w:divBdr>
        <w:top w:val="none" w:sz="0" w:space="0" w:color="auto"/>
        <w:left w:val="none" w:sz="0" w:space="0" w:color="auto"/>
        <w:bottom w:val="none" w:sz="0" w:space="0" w:color="auto"/>
        <w:right w:val="none" w:sz="0" w:space="0" w:color="auto"/>
      </w:divBdr>
    </w:div>
    <w:div w:id="909391304">
      <w:bodyDiv w:val="1"/>
      <w:marLeft w:val="0"/>
      <w:marRight w:val="0"/>
      <w:marTop w:val="0"/>
      <w:marBottom w:val="0"/>
      <w:divBdr>
        <w:top w:val="none" w:sz="0" w:space="0" w:color="auto"/>
        <w:left w:val="none" w:sz="0" w:space="0" w:color="auto"/>
        <w:bottom w:val="none" w:sz="0" w:space="0" w:color="auto"/>
        <w:right w:val="none" w:sz="0" w:space="0" w:color="auto"/>
      </w:divBdr>
    </w:div>
    <w:div w:id="921178652">
      <w:bodyDiv w:val="1"/>
      <w:marLeft w:val="0"/>
      <w:marRight w:val="0"/>
      <w:marTop w:val="0"/>
      <w:marBottom w:val="0"/>
      <w:divBdr>
        <w:top w:val="none" w:sz="0" w:space="0" w:color="auto"/>
        <w:left w:val="none" w:sz="0" w:space="0" w:color="auto"/>
        <w:bottom w:val="none" w:sz="0" w:space="0" w:color="auto"/>
        <w:right w:val="none" w:sz="0" w:space="0" w:color="auto"/>
      </w:divBdr>
    </w:div>
    <w:div w:id="936642859">
      <w:bodyDiv w:val="1"/>
      <w:marLeft w:val="0"/>
      <w:marRight w:val="0"/>
      <w:marTop w:val="0"/>
      <w:marBottom w:val="0"/>
      <w:divBdr>
        <w:top w:val="none" w:sz="0" w:space="0" w:color="auto"/>
        <w:left w:val="none" w:sz="0" w:space="0" w:color="auto"/>
        <w:bottom w:val="none" w:sz="0" w:space="0" w:color="auto"/>
        <w:right w:val="none" w:sz="0" w:space="0" w:color="auto"/>
      </w:divBdr>
    </w:div>
    <w:div w:id="936788768">
      <w:bodyDiv w:val="1"/>
      <w:marLeft w:val="0"/>
      <w:marRight w:val="0"/>
      <w:marTop w:val="0"/>
      <w:marBottom w:val="0"/>
      <w:divBdr>
        <w:top w:val="none" w:sz="0" w:space="0" w:color="auto"/>
        <w:left w:val="none" w:sz="0" w:space="0" w:color="auto"/>
        <w:bottom w:val="none" w:sz="0" w:space="0" w:color="auto"/>
        <w:right w:val="none" w:sz="0" w:space="0" w:color="auto"/>
      </w:divBdr>
    </w:div>
    <w:div w:id="1002395061">
      <w:bodyDiv w:val="1"/>
      <w:marLeft w:val="0"/>
      <w:marRight w:val="0"/>
      <w:marTop w:val="0"/>
      <w:marBottom w:val="0"/>
      <w:divBdr>
        <w:top w:val="none" w:sz="0" w:space="0" w:color="auto"/>
        <w:left w:val="none" w:sz="0" w:space="0" w:color="auto"/>
        <w:bottom w:val="none" w:sz="0" w:space="0" w:color="auto"/>
        <w:right w:val="none" w:sz="0" w:space="0" w:color="auto"/>
      </w:divBdr>
    </w:div>
    <w:div w:id="1026175203">
      <w:bodyDiv w:val="1"/>
      <w:marLeft w:val="0"/>
      <w:marRight w:val="0"/>
      <w:marTop w:val="0"/>
      <w:marBottom w:val="0"/>
      <w:divBdr>
        <w:top w:val="none" w:sz="0" w:space="0" w:color="auto"/>
        <w:left w:val="none" w:sz="0" w:space="0" w:color="auto"/>
        <w:bottom w:val="none" w:sz="0" w:space="0" w:color="auto"/>
        <w:right w:val="none" w:sz="0" w:space="0" w:color="auto"/>
      </w:divBdr>
    </w:div>
    <w:div w:id="1032262680">
      <w:bodyDiv w:val="1"/>
      <w:marLeft w:val="0"/>
      <w:marRight w:val="0"/>
      <w:marTop w:val="0"/>
      <w:marBottom w:val="0"/>
      <w:divBdr>
        <w:top w:val="none" w:sz="0" w:space="0" w:color="auto"/>
        <w:left w:val="none" w:sz="0" w:space="0" w:color="auto"/>
        <w:bottom w:val="none" w:sz="0" w:space="0" w:color="auto"/>
        <w:right w:val="none" w:sz="0" w:space="0" w:color="auto"/>
      </w:divBdr>
    </w:div>
    <w:div w:id="1040663022">
      <w:bodyDiv w:val="1"/>
      <w:marLeft w:val="0"/>
      <w:marRight w:val="0"/>
      <w:marTop w:val="0"/>
      <w:marBottom w:val="0"/>
      <w:divBdr>
        <w:top w:val="none" w:sz="0" w:space="0" w:color="auto"/>
        <w:left w:val="none" w:sz="0" w:space="0" w:color="auto"/>
        <w:bottom w:val="none" w:sz="0" w:space="0" w:color="auto"/>
        <w:right w:val="none" w:sz="0" w:space="0" w:color="auto"/>
      </w:divBdr>
    </w:div>
    <w:div w:id="1041786868">
      <w:bodyDiv w:val="1"/>
      <w:marLeft w:val="0"/>
      <w:marRight w:val="0"/>
      <w:marTop w:val="0"/>
      <w:marBottom w:val="0"/>
      <w:divBdr>
        <w:top w:val="none" w:sz="0" w:space="0" w:color="auto"/>
        <w:left w:val="none" w:sz="0" w:space="0" w:color="auto"/>
        <w:bottom w:val="none" w:sz="0" w:space="0" w:color="auto"/>
        <w:right w:val="none" w:sz="0" w:space="0" w:color="auto"/>
      </w:divBdr>
    </w:div>
    <w:div w:id="1071346414">
      <w:bodyDiv w:val="1"/>
      <w:marLeft w:val="0"/>
      <w:marRight w:val="0"/>
      <w:marTop w:val="0"/>
      <w:marBottom w:val="0"/>
      <w:divBdr>
        <w:top w:val="none" w:sz="0" w:space="0" w:color="auto"/>
        <w:left w:val="none" w:sz="0" w:space="0" w:color="auto"/>
        <w:bottom w:val="none" w:sz="0" w:space="0" w:color="auto"/>
        <w:right w:val="none" w:sz="0" w:space="0" w:color="auto"/>
      </w:divBdr>
    </w:div>
    <w:div w:id="1075015035">
      <w:bodyDiv w:val="1"/>
      <w:marLeft w:val="0"/>
      <w:marRight w:val="0"/>
      <w:marTop w:val="0"/>
      <w:marBottom w:val="0"/>
      <w:divBdr>
        <w:top w:val="none" w:sz="0" w:space="0" w:color="auto"/>
        <w:left w:val="none" w:sz="0" w:space="0" w:color="auto"/>
        <w:bottom w:val="none" w:sz="0" w:space="0" w:color="auto"/>
        <w:right w:val="none" w:sz="0" w:space="0" w:color="auto"/>
      </w:divBdr>
    </w:div>
    <w:div w:id="1092049716">
      <w:bodyDiv w:val="1"/>
      <w:marLeft w:val="0"/>
      <w:marRight w:val="0"/>
      <w:marTop w:val="0"/>
      <w:marBottom w:val="0"/>
      <w:divBdr>
        <w:top w:val="none" w:sz="0" w:space="0" w:color="auto"/>
        <w:left w:val="none" w:sz="0" w:space="0" w:color="auto"/>
        <w:bottom w:val="none" w:sz="0" w:space="0" w:color="auto"/>
        <w:right w:val="none" w:sz="0" w:space="0" w:color="auto"/>
      </w:divBdr>
    </w:div>
    <w:div w:id="1112433497">
      <w:bodyDiv w:val="1"/>
      <w:marLeft w:val="0"/>
      <w:marRight w:val="0"/>
      <w:marTop w:val="0"/>
      <w:marBottom w:val="0"/>
      <w:divBdr>
        <w:top w:val="none" w:sz="0" w:space="0" w:color="auto"/>
        <w:left w:val="none" w:sz="0" w:space="0" w:color="auto"/>
        <w:bottom w:val="none" w:sz="0" w:space="0" w:color="auto"/>
        <w:right w:val="none" w:sz="0" w:space="0" w:color="auto"/>
      </w:divBdr>
    </w:div>
    <w:div w:id="1113206938">
      <w:bodyDiv w:val="1"/>
      <w:marLeft w:val="0"/>
      <w:marRight w:val="0"/>
      <w:marTop w:val="0"/>
      <w:marBottom w:val="0"/>
      <w:divBdr>
        <w:top w:val="none" w:sz="0" w:space="0" w:color="auto"/>
        <w:left w:val="none" w:sz="0" w:space="0" w:color="auto"/>
        <w:bottom w:val="none" w:sz="0" w:space="0" w:color="auto"/>
        <w:right w:val="none" w:sz="0" w:space="0" w:color="auto"/>
      </w:divBdr>
    </w:div>
    <w:div w:id="1115751642">
      <w:bodyDiv w:val="1"/>
      <w:marLeft w:val="0"/>
      <w:marRight w:val="0"/>
      <w:marTop w:val="0"/>
      <w:marBottom w:val="0"/>
      <w:divBdr>
        <w:top w:val="none" w:sz="0" w:space="0" w:color="auto"/>
        <w:left w:val="none" w:sz="0" w:space="0" w:color="auto"/>
        <w:bottom w:val="none" w:sz="0" w:space="0" w:color="auto"/>
        <w:right w:val="none" w:sz="0" w:space="0" w:color="auto"/>
      </w:divBdr>
    </w:div>
    <w:div w:id="1128862975">
      <w:bodyDiv w:val="1"/>
      <w:marLeft w:val="0"/>
      <w:marRight w:val="0"/>
      <w:marTop w:val="0"/>
      <w:marBottom w:val="0"/>
      <w:divBdr>
        <w:top w:val="none" w:sz="0" w:space="0" w:color="auto"/>
        <w:left w:val="none" w:sz="0" w:space="0" w:color="auto"/>
        <w:bottom w:val="none" w:sz="0" w:space="0" w:color="auto"/>
        <w:right w:val="none" w:sz="0" w:space="0" w:color="auto"/>
      </w:divBdr>
    </w:div>
    <w:div w:id="1154102083">
      <w:bodyDiv w:val="1"/>
      <w:marLeft w:val="0"/>
      <w:marRight w:val="0"/>
      <w:marTop w:val="0"/>
      <w:marBottom w:val="0"/>
      <w:divBdr>
        <w:top w:val="none" w:sz="0" w:space="0" w:color="auto"/>
        <w:left w:val="none" w:sz="0" w:space="0" w:color="auto"/>
        <w:bottom w:val="none" w:sz="0" w:space="0" w:color="auto"/>
        <w:right w:val="none" w:sz="0" w:space="0" w:color="auto"/>
      </w:divBdr>
    </w:div>
    <w:div w:id="1180268479">
      <w:bodyDiv w:val="1"/>
      <w:marLeft w:val="0"/>
      <w:marRight w:val="0"/>
      <w:marTop w:val="0"/>
      <w:marBottom w:val="0"/>
      <w:divBdr>
        <w:top w:val="none" w:sz="0" w:space="0" w:color="auto"/>
        <w:left w:val="none" w:sz="0" w:space="0" w:color="auto"/>
        <w:bottom w:val="none" w:sz="0" w:space="0" w:color="auto"/>
        <w:right w:val="none" w:sz="0" w:space="0" w:color="auto"/>
      </w:divBdr>
    </w:div>
    <w:div w:id="1181704914">
      <w:bodyDiv w:val="1"/>
      <w:marLeft w:val="0"/>
      <w:marRight w:val="0"/>
      <w:marTop w:val="0"/>
      <w:marBottom w:val="0"/>
      <w:divBdr>
        <w:top w:val="none" w:sz="0" w:space="0" w:color="auto"/>
        <w:left w:val="none" w:sz="0" w:space="0" w:color="auto"/>
        <w:bottom w:val="none" w:sz="0" w:space="0" w:color="auto"/>
        <w:right w:val="none" w:sz="0" w:space="0" w:color="auto"/>
      </w:divBdr>
    </w:div>
    <w:div w:id="1201089066">
      <w:bodyDiv w:val="1"/>
      <w:marLeft w:val="0"/>
      <w:marRight w:val="0"/>
      <w:marTop w:val="0"/>
      <w:marBottom w:val="0"/>
      <w:divBdr>
        <w:top w:val="none" w:sz="0" w:space="0" w:color="auto"/>
        <w:left w:val="none" w:sz="0" w:space="0" w:color="auto"/>
        <w:bottom w:val="none" w:sz="0" w:space="0" w:color="auto"/>
        <w:right w:val="none" w:sz="0" w:space="0" w:color="auto"/>
      </w:divBdr>
    </w:div>
    <w:div w:id="1211917723">
      <w:bodyDiv w:val="1"/>
      <w:marLeft w:val="0"/>
      <w:marRight w:val="0"/>
      <w:marTop w:val="0"/>
      <w:marBottom w:val="0"/>
      <w:divBdr>
        <w:top w:val="none" w:sz="0" w:space="0" w:color="auto"/>
        <w:left w:val="none" w:sz="0" w:space="0" w:color="auto"/>
        <w:bottom w:val="none" w:sz="0" w:space="0" w:color="auto"/>
        <w:right w:val="none" w:sz="0" w:space="0" w:color="auto"/>
      </w:divBdr>
    </w:div>
    <w:div w:id="1254633900">
      <w:bodyDiv w:val="1"/>
      <w:marLeft w:val="0"/>
      <w:marRight w:val="0"/>
      <w:marTop w:val="0"/>
      <w:marBottom w:val="0"/>
      <w:divBdr>
        <w:top w:val="none" w:sz="0" w:space="0" w:color="auto"/>
        <w:left w:val="none" w:sz="0" w:space="0" w:color="auto"/>
        <w:bottom w:val="none" w:sz="0" w:space="0" w:color="auto"/>
        <w:right w:val="none" w:sz="0" w:space="0" w:color="auto"/>
      </w:divBdr>
    </w:div>
    <w:div w:id="1258556337">
      <w:bodyDiv w:val="1"/>
      <w:marLeft w:val="0"/>
      <w:marRight w:val="0"/>
      <w:marTop w:val="0"/>
      <w:marBottom w:val="0"/>
      <w:divBdr>
        <w:top w:val="none" w:sz="0" w:space="0" w:color="auto"/>
        <w:left w:val="none" w:sz="0" w:space="0" w:color="auto"/>
        <w:bottom w:val="none" w:sz="0" w:space="0" w:color="auto"/>
        <w:right w:val="none" w:sz="0" w:space="0" w:color="auto"/>
      </w:divBdr>
    </w:div>
    <w:div w:id="1278633908">
      <w:bodyDiv w:val="1"/>
      <w:marLeft w:val="0"/>
      <w:marRight w:val="0"/>
      <w:marTop w:val="0"/>
      <w:marBottom w:val="0"/>
      <w:divBdr>
        <w:top w:val="none" w:sz="0" w:space="0" w:color="auto"/>
        <w:left w:val="none" w:sz="0" w:space="0" w:color="auto"/>
        <w:bottom w:val="none" w:sz="0" w:space="0" w:color="auto"/>
        <w:right w:val="none" w:sz="0" w:space="0" w:color="auto"/>
      </w:divBdr>
    </w:div>
    <w:div w:id="1299845559">
      <w:bodyDiv w:val="1"/>
      <w:marLeft w:val="0"/>
      <w:marRight w:val="0"/>
      <w:marTop w:val="0"/>
      <w:marBottom w:val="0"/>
      <w:divBdr>
        <w:top w:val="none" w:sz="0" w:space="0" w:color="auto"/>
        <w:left w:val="none" w:sz="0" w:space="0" w:color="auto"/>
        <w:bottom w:val="none" w:sz="0" w:space="0" w:color="auto"/>
        <w:right w:val="none" w:sz="0" w:space="0" w:color="auto"/>
      </w:divBdr>
    </w:div>
    <w:div w:id="1309047563">
      <w:bodyDiv w:val="1"/>
      <w:marLeft w:val="0"/>
      <w:marRight w:val="0"/>
      <w:marTop w:val="0"/>
      <w:marBottom w:val="0"/>
      <w:divBdr>
        <w:top w:val="none" w:sz="0" w:space="0" w:color="auto"/>
        <w:left w:val="none" w:sz="0" w:space="0" w:color="auto"/>
        <w:bottom w:val="none" w:sz="0" w:space="0" w:color="auto"/>
        <w:right w:val="none" w:sz="0" w:space="0" w:color="auto"/>
      </w:divBdr>
    </w:div>
    <w:div w:id="1370109021">
      <w:bodyDiv w:val="1"/>
      <w:marLeft w:val="0"/>
      <w:marRight w:val="0"/>
      <w:marTop w:val="0"/>
      <w:marBottom w:val="0"/>
      <w:divBdr>
        <w:top w:val="none" w:sz="0" w:space="0" w:color="auto"/>
        <w:left w:val="none" w:sz="0" w:space="0" w:color="auto"/>
        <w:bottom w:val="none" w:sz="0" w:space="0" w:color="auto"/>
        <w:right w:val="none" w:sz="0" w:space="0" w:color="auto"/>
      </w:divBdr>
    </w:div>
    <w:div w:id="1370227401">
      <w:bodyDiv w:val="1"/>
      <w:marLeft w:val="0"/>
      <w:marRight w:val="0"/>
      <w:marTop w:val="0"/>
      <w:marBottom w:val="0"/>
      <w:divBdr>
        <w:top w:val="none" w:sz="0" w:space="0" w:color="auto"/>
        <w:left w:val="none" w:sz="0" w:space="0" w:color="auto"/>
        <w:bottom w:val="none" w:sz="0" w:space="0" w:color="auto"/>
        <w:right w:val="none" w:sz="0" w:space="0" w:color="auto"/>
      </w:divBdr>
    </w:div>
    <w:div w:id="1372531645">
      <w:bodyDiv w:val="1"/>
      <w:marLeft w:val="0"/>
      <w:marRight w:val="0"/>
      <w:marTop w:val="0"/>
      <w:marBottom w:val="0"/>
      <w:divBdr>
        <w:top w:val="none" w:sz="0" w:space="0" w:color="auto"/>
        <w:left w:val="none" w:sz="0" w:space="0" w:color="auto"/>
        <w:bottom w:val="none" w:sz="0" w:space="0" w:color="auto"/>
        <w:right w:val="none" w:sz="0" w:space="0" w:color="auto"/>
      </w:divBdr>
    </w:div>
    <w:div w:id="1410543947">
      <w:bodyDiv w:val="1"/>
      <w:marLeft w:val="0"/>
      <w:marRight w:val="0"/>
      <w:marTop w:val="0"/>
      <w:marBottom w:val="0"/>
      <w:divBdr>
        <w:top w:val="none" w:sz="0" w:space="0" w:color="auto"/>
        <w:left w:val="none" w:sz="0" w:space="0" w:color="auto"/>
        <w:bottom w:val="none" w:sz="0" w:space="0" w:color="auto"/>
        <w:right w:val="none" w:sz="0" w:space="0" w:color="auto"/>
      </w:divBdr>
    </w:div>
    <w:div w:id="1414282371">
      <w:bodyDiv w:val="1"/>
      <w:marLeft w:val="0"/>
      <w:marRight w:val="0"/>
      <w:marTop w:val="0"/>
      <w:marBottom w:val="0"/>
      <w:divBdr>
        <w:top w:val="none" w:sz="0" w:space="0" w:color="auto"/>
        <w:left w:val="none" w:sz="0" w:space="0" w:color="auto"/>
        <w:bottom w:val="none" w:sz="0" w:space="0" w:color="auto"/>
        <w:right w:val="none" w:sz="0" w:space="0" w:color="auto"/>
      </w:divBdr>
    </w:div>
    <w:div w:id="1452744032">
      <w:bodyDiv w:val="1"/>
      <w:marLeft w:val="0"/>
      <w:marRight w:val="0"/>
      <w:marTop w:val="0"/>
      <w:marBottom w:val="0"/>
      <w:divBdr>
        <w:top w:val="none" w:sz="0" w:space="0" w:color="auto"/>
        <w:left w:val="none" w:sz="0" w:space="0" w:color="auto"/>
        <w:bottom w:val="none" w:sz="0" w:space="0" w:color="auto"/>
        <w:right w:val="none" w:sz="0" w:space="0" w:color="auto"/>
      </w:divBdr>
    </w:div>
    <w:div w:id="1453012780">
      <w:bodyDiv w:val="1"/>
      <w:marLeft w:val="0"/>
      <w:marRight w:val="0"/>
      <w:marTop w:val="0"/>
      <w:marBottom w:val="0"/>
      <w:divBdr>
        <w:top w:val="none" w:sz="0" w:space="0" w:color="auto"/>
        <w:left w:val="none" w:sz="0" w:space="0" w:color="auto"/>
        <w:bottom w:val="none" w:sz="0" w:space="0" w:color="auto"/>
        <w:right w:val="none" w:sz="0" w:space="0" w:color="auto"/>
      </w:divBdr>
    </w:div>
    <w:div w:id="1456169081">
      <w:bodyDiv w:val="1"/>
      <w:marLeft w:val="0"/>
      <w:marRight w:val="0"/>
      <w:marTop w:val="0"/>
      <w:marBottom w:val="0"/>
      <w:divBdr>
        <w:top w:val="none" w:sz="0" w:space="0" w:color="auto"/>
        <w:left w:val="none" w:sz="0" w:space="0" w:color="auto"/>
        <w:bottom w:val="none" w:sz="0" w:space="0" w:color="auto"/>
        <w:right w:val="none" w:sz="0" w:space="0" w:color="auto"/>
      </w:divBdr>
    </w:div>
    <w:div w:id="1476098612">
      <w:bodyDiv w:val="1"/>
      <w:marLeft w:val="0"/>
      <w:marRight w:val="0"/>
      <w:marTop w:val="0"/>
      <w:marBottom w:val="0"/>
      <w:divBdr>
        <w:top w:val="none" w:sz="0" w:space="0" w:color="auto"/>
        <w:left w:val="none" w:sz="0" w:space="0" w:color="auto"/>
        <w:bottom w:val="none" w:sz="0" w:space="0" w:color="auto"/>
        <w:right w:val="none" w:sz="0" w:space="0" w:color="auto"/>
      </w:divBdr>
    </w:div>
    <w:div w:id="1482767971">
      <w:bodyDiv w:val="1"/>
      <w:marLeft w:val="0"/>
      <w:marRight w:val="0"/>
      <w:marTop w:val="0"/>
      <w:marBottom w:val="0"/>
      <w:divBdr>
        <w:top w:val="none" w:sz="0" w:space="0" w:color="auto"/>
        <w:left w:val="none" w:sz="0" w:space="0" w:color="auto"/>
        <w:bottom w:val="none" w:sz="0" w:space="0" w:color="auto"/>
        <w:right w:val="none" w:sz="0" w:space="0" w:color="auto"/>
      </w:divBdr>
    </w:div>
    <w:div w:id="1488592493">
      <w:bodyDiv w:val="1"/>
      <w:marLeft w:val="0"/>
      <w:marRight w:val="0"/>
      <w:marTop w:val="0"/>
      <w:marBottom w:val="0"/>
      <w:divBdr>
        <w:top w:val="none" w:sz="0" w:space="0" w:color="auto"/>
        <w:left w:val="none" w:sz="0" w:space="0" w:color="auto"/>
        <w:bottom w:val="none" w:sz="0" w:space="0" w:color="auto"/>
        <w:right w:val="none" w:sz="0" w:space="0" w:color="auto"/>
      </w:divBdr>
    </w:div>
    <w:div w:id="1554148487">
      <w:bodyDiv w:val="1"/>
      <w:marLeft w:val="0"/>
      <w:marRight w:val="0"/>
      <w:marTop w:val="0"/>
      <w:marBottom w:val="0"/>
      <w:divBdr>
        <w:top w:val="none" w:sz="0" w:space="0" w:color="auto"/>
        <w:left w:val="none" w:sz="0" w:space="0" w:color="auto"/>
        <w:bottom w:val="none" w:sz="0" w:space="0" w:color="auto"/>
        <w:right w:val="none" w:sz="0" w:space="0" w:color="auto"/>
      </w:divBdr>
    </w:div>
    <w:div w:id="1586767525">
      <w:bodyDiv w:val="1"/>
      <w:marLeft w:val="0"/>
      <w:marRight w:val="0"/>
      <w:marTop w:val="0"/>
      <w:marBottom w:val="0"/>
      <w:divBdr>
        <w:top w:val="none" w:sz="0" w:space="0" w:color="auto"/>
        <w:left w:val="none" w:sz="0" w:space="0" w:color="auto"/>
        <w:bottom w:val="none" w:sz="0" w:space="0" w:color="auto"/>
        <w:right w:val="none" w:sz="0" w:space="0" w:color="auto"/>
      </w:divBdr>
    </w:div>
    <w:div w:id="1622497898">
      <w:bodyDiv w:val="1"/>
      <w:marLeft w:val="0"/>
      <w:marRight w:val="0"/>
      <w:marTop w:val="0"/>
      <w:marBottom w:val="0"/>
      <w:divBdr>
        <w:top w:val="none" w:sz="0" w:space="0" w:color="auto"/>
        <w:left w:val="none" w:sz="0" w:space="0" w:color="auto"/>
        <w:bottom w:val="none" w:sz="0" w:space="0" w:color="auto"/>
        <w:right w:val="none" w:sz="0" w:space="0" w:color="auto"/>
      </w:divBdr>
    </w:div>
    <w:div w:id="1666787502">
      <w:bodyDiv w:val="1"/>
      <w:marLeft w:val="0"/>
      <w:marRight w:val="0"/>
      <w:marTop w:val="0"/>
      <w:marBottom w:val="0"/>
      <w:divBdr>
        <w:top w:val="none" w:sz="0" w:space="0" w:color="auto"/>
        <w:left w:val="none" w:sz="0" w:space="0" w:color="auto"/>
        <w:bottom w:val="none" w:sz="0" w:space="0" w:color="auto"/>
        <w:right w:val="none" w:sz="0" w:space="0" w:color="auto"/>
      </w:divBdr>
    </w:div>
    <w:div w:id="1668508918">
      <w:bodyDiv w:val="1"/>
      <w:marLeft w:val="0"/>
      <w:marRight w:val="0"/>
      <w:marTop w:val="0"/>
      <w:marBottom w:val="0"/>
      <w:divBdr>
        <w:top w:val="none" w:sz="0" w:space="0" w:color="auto"/>
        <w:left w:val="none" w:sz="0" w:space="0" w:color="auto"/>
        <w:bottom w:val="none" w:sz="0" w:space="0" w:color="auto"/>
        <w:right w:val="none" w:sz="0" w:space="0" w:color="auto"/>
      </w:divBdr>
    </w:div>
    <w:div w:id="1699113822">
      <w:bodyDiv w:val="1"/>
      <w:marLeft w:val="0"/>
      <w:marRight w:val="0"/>
      <w:marTop w:val="0"/>
      <w:marBottom w:val="0"/>
      <w:divBdr>
        <w:top w:val="none" w:sz="0" w:space="0" w:color="auto"/>
        <w:left w:val="none" w:sz="0" w:space="0" w:color="auto"/>
        <w:bottom w:val="none" w:sz="0" w:space="0" w:color="auto"/>
        <w:right w:val="none" w:sz="0" w:space="0" w:color="auto"/>
      </w:divBdr>
    </w:div>
    <w:div w:id="1749381047">
      <w:bodyDiv w:val="1"/>
      <w:marLeft w:val="0"/>
      <w:marRight w:val="0"/>
      <w:marTop w:val="0"/>
      <w:marBottom w:val="0"/>
      <w:divBdr>
        <w:top w:val="none" w:sz="0" w:space="0" w:color="auto"/>
        <w:left w:val="none" w:sz="0" w:space="0" w:color="auto"/>
        <w:bottom w:val="none" w:sz="0" w:space="0" w:color="auto"/>
        <w:right w:val="none" w:sz="0" w:space="0" w:color="auto"/>
      </w:divBdr>
    </w:div>
    <w:div w:id="1755012509">
      <w:bodyDiv w:val="1"/>
      <w:marLeft w:val="0"/>
      <w:marRight w:val="0"/>
      <w:marTop w:val="0"/>
      <w:marBottom w:val="0"/>
      <w:divBdr>
        <w:top w:val="none" w:sz="0" w:space="0" w:color="auto"/>
        <w:left w:val="none" w:sz="0" w:space="0" w:color="auto"/>
        <w:bottom w:val="none" w:sz="0" w:space="0" w:color="auto"/>
        <w:right w:val="none" w:sz="0" w:space="0" w:color="auto"/>
      </w:divBdr>
    </w:div>
    <w:div w:id="1765489841">
      <w:bodyDiv w:val="1"/>
      <w:marLeft w:val="0"/>
      <w:marRight w:val="0"/>
      <w:marTop w:val="0"/>
      <w:marBottom w:val="0"/>
      <w:divBdr>
        <w:top w:val="none" w:sz="0" w:space="0" w:color="auto"/>
        <w:left w:val="none" w:sz="0" w:space="0" w:color="auto"/>
        <w:bottom w:val="none" w:sz="0" w:space="0" w:color="auto"/>
        <w:right w:val="none" w:sz="0" w:space="0" w:color="auto"/>
      </w:divBdr>
    </w:div>
    <w:div w:id="1769735847">
      <w:bodyDiv w:val="1"/>
      <w:marLeft w:val="0"/>
      <w:marRight w:val="0"/>
      <w:marTop w:val="0"/>
      <w:marBottom w:val="0"/>
      <w:divBdr>
        <w:top w:val="none" w:sz="0" w:space="0" w:color="auto"/>
        <w:left w:val="none" w:sz="0" w:space="0" w:color="auto"/>
        <w:bottom w:val="none" w:sz="0" w:space="0" w:color="auto"/>
        <w:right w:val="none" w:sz="0" w:space="0" w:color="auto"/>
      </w:divBdr>
    </w:div>
    <w:div w:id="1806194471">
      <w:bodyDiv w:val="1"/>
      <w:marLeft w:val="0"/>
      <w:marRight w:val="0"/>
      <w:marTop w:val="0"/>
      <w:marBottom w:val="0"/>
      <w:divBdr>
        <w:top w:val="none" w:sz="0" w:space="0" w:color="auto"/>
        <w:left w:val="none" w:sz="0" w:space="0" w:color="auto"/>
        <w:bottom w:val="none" w:sz="0" w:space="0" w:color="auto"/>
        <w:right w:val="none" w:sz="0" w:space="0" w:color="auto"/>
      </w:divBdr>
    </w:div>
    <w:div w:id="1845780853">
      <w:bodyDiv w:val="1"/>
      <w:marLeft w:val="0"/>
      <w:marRight w:val="0"/>
      <w:marTop w:val="0"/>
      <w:marBottom w:val="0"/>
      <w:divBdr>
        <w:top w:val="none" w:sz="0" w:space="0" w:color="auto"/>
        <w:left w:val="none" w:sz="0" w:space="0" w:color="auto"/>
        <w:bottom w:val="none" w:sz="0" w:space="0" w:color="auto"/>
        <w:right w:val="none" w:sz="0" w:space="0" w:color="auto"/>
      </w:divBdr>
    </w:div>
    <w:div w:id="1867133419">
      <w:bodyDiv w:val="1"/>
      <w:marLeft w:val="0"/>
      <w:marRight w:val="0"/>
      <w:marTop w:val="0"/>
      <w:marBottom w:val="0"/>
      <w:divBdr>
        <w:top w:val="none" w:sz="0" w:space="0" w:color="auto"/>
        <w:left w:val="none" w:sz="0" w:space="0" w:color="auto"/>
        <w:bottom w:val="none" w:sz="0" w:space="0" w:color="auto"/>
        <w:right w:val="none" w:sz="0" w:space="0" w:color="auto"/>
      </w:divBdr>
    </w:div>
    <w:div w:id="1871645243">
      <w:bodyDiv w:val="1"/>
      <w:marLeft w:val="0"/>
      <w:marRight w:val="0"/>
      <w:marTop w:val="0"/>
      <w:marBottom w:val="0"/>
      <w:divBdr>
        <w:top w:val="none" w:sz="0" w:space="0" w:color="auto"/>
        <w:left w:val="none" w:sz="0" w:space="0" w:color="auto"/>
        <w:bottom w:val="none" w:sz="0" w:space="0" w:color="auto"/>
        <w:right w:val="none" w:sz="0" w:space="0" w:color="auto"/>
      </w:divBdr>
    </w:div>
    <w:div w:id="1877889259">
      <w:bodyDiv w:val="1"/>
      <w:marLeft w:val="0"/>
      <w:marRight w:val="0"/>
      <w:marTop w:val="0"/>
      <w:marBottom w:val="0"/>
      <w:divBdr>
        <w:top w:val="none" w:sz="0" w:space="0" w:color="auto"/>
        <w:left w:val="none" w:sz="0" w:space="0" w:color="auto"/>
        <w:bottom w:val="none" w:sz="0" w:space="0" w:color="auto"/>
        <w:right w:val="none" w:sz="0" w:space="0" w:color="auto"/>
      </w:divBdr>
    </w:div>
    <w:div w:id="1887797237">
      <w:bodyDiv w:val="1"/>
      <w:marLeft w:val="0"/>
      <w:marRight w:val="0"/>
      <w:marTop w:val="0"/>
      <w:marBottom w:val="0"/>
      <w:divBdr>
        <w:top w:val="none" w:sz="0" w:space="0" w:color="auto"/>
        <w:left w:val="none" w:sz="0" w:space="0" w:color="auto"/>
        <w:bottom w:val="none" w:sz="0" w:space="0" w:color="auto"/>
        <w:right w:val="none" w:sz="0" w:space="0" w:color="auto"/>
      </w:divBdr>
    </w:div>
    <w:div w:id="1951431814">
      <w:bodyDiv w:val="1"/>
      <w:marLeft w:val="0"/>
      <w:marRight w:val="0"/>
      <w:marTop w:val="0"/>
      <w:marBottom w:val="0"/>
      <w:divBdr>
        <w:top w:val="none" w:sz="0" w:space="0" w:color="auto"/>
        <w:left w:val="none" w:sz="0" w:space="0" w:color="auto"/>
        <w:bottom w:val="none" w:sz="0" w:space="0" w:color="auto"/>
        <w:right w:val="none" w:sz="0" w:space="0" w:color="auto"/>
      </w:divBdr>
    </w:div>
    <w:div w:id="1976790288">
      <w:bodyDiv w:val="1"/>
      <w:marLeft w:val="0"/>
      <w:marRight w:val="0"/>
      <w:marTop w:val="0"/>
      <w:marBottom w:val="0"/>
      <w:divBdr>
        <w:top w:val="none" w:sz="0" w:space="0" w:color="auto"/>
        <w:left w:val="none" w:sz="0" w:space="0" w:color="auto"/>
        <w:bottom w:val="none" w:sz="0" w:space="0" w:color="auto"/>
        <w:right w:val="none" w:sz="0" w:space="0" w:color="auto"/>
      </w:divBdr>
    </w:div>
    <w:div w:id="1986232143">
      <w:bodyDiv w:val="1"/>
      <w:marLeft w:val="0"/>
      <w:marRight w:val="0"/>
      <w:marTop w:val="0"/>
      <w:marBottom w:val="0"/>
      <w:divBdr>
        <w:top w:val="none" w:sz="0" w:space="0" w:color="auto"/>
        <w:left w:val="none" w:sz="0" w:space="0" w:color="auto"/>
        <w:bottom w:val="none" w:sz="0" w:space="0" w:color="auto"/>
        <w:right w:val="none" w:sz="0" w:space="0" w:color="auto"/>
      </w:divBdr>
    </w:div>
    <w:div w:id="2013213844">
      <w:bodyDiv w:val="1"/>
      <w:marLeft w:val="0"/>
      <w:marRight w:val="0"/>
      <w:marTop w:val="0"/>
      <w:marBottom w:val="0"/>
      <w:divBdr>
        <w:top w:val="none" w:sz="0" w:space="0" w:color="auto"/>
        <w:left w:val="none" w:sz="0" w:space="0" w:color="auto"/>
        <w:bottom w:val="none" w:sz="0" w:space="0" w:color="auto"/>
        <w:right w:val="none" w:sz="0" w:space="0" w:color="auto"/>
      </w:divBdr>
    </w:div>
    <w:div w:id="2013532586">
      <w:bodyDiv w:val="1"/>
      <w:marLeft w:val="0"/>
      <w:marRight w:val="0"/>
      <w:marTop w:val="0"/>
      <w:marBottom w:val="0"/>
      <w:divBdr>
        <w:top w:val="none" w:sz="0" w:space="0" w:color="auto"/>
        <w:left w:val="none" w:sz="0" w:space="0" w:color="auto"/>
        <w:bottom w:val="none" w:sz="0" w:space="0" w:color="auto"/>
        <w:right w:val="none" w:sz="0" w:space="0" w:color="auto"/>
      </w:divBdr>
    </w:div>
    <w:div w:id="2035575073">
      <w:bodyDiv w:val="1"/>
      <w:marLeft w:val="0"/>
      <w:marRight w:val="0"/>
      <w:marTop w:val="0"/>
      <w:marBottom w:val="0"/>
      <w:divBdr>
        <w:top w:val="none" w:sz="0" w:space="0" w:color="auto"/>
        <w:left w:val="none" w:sz="0" w:space="0" w:color="auto"/>
        <w:bottom w:val="none" w:sz="0" w:space="0" w:color="auto"/>
        <w:right w:val="none" w:sz="0" w:space="0" w:color="auto"/>
      </w:divBdr>
    </w:div>
    <w:div w:id="2055812508">
      <w:bodyDiv w:val="1"/>
      <w:marLeft w:val="0"/>
      <w:marRight w:val="0"/>
      <w:marTop w:val="0"/>
      <w:marBottom w:val="0"/>
      <w:divBdr>
        <w:top w:val="none" w:sz="0" w:space="0" w:color="auto"/>
        <w:left w:val="none" w:sz="0" w:space="0" w:color="auto"/>
        <w:bottom w:val="none" w:sz="0" w:space="0" w:color="auto"/>
        <w:right w:val="none" w:sz="0" w:space="0" w:color="auto"/>
      </w:divBdr>
    </w:div>
    <w:div w:id="2104953266">
      <w:bodyDiv w:val="1"/>
      <w:marLeft w:val="0"/>
      <w:marRight w:val="0"/>
      <w:marTop w:val="0"/>
      <w:marBottom w:val="0"/>
      <w:divBdr>
        <w:top w:val="none" w:sz="0" w:space="0" w:color="auto"/>
        <w:left w:val="none" w:sz="0" w:space="0" w:color="auto"/>
        <w:bottom w:val="none" w:sz="0" w:space="0" w:color="auto"/>
        <w:right w:val="none" w:sz="0" w:space="0" w:color="auto"/>
      </w:divBdr>
    </w:div>
    <w:div w:id="2127459222">
      <w:bodyDiv w:val="1"/>
      <w:marLeft w:val="0"/>
      <w:marRight w:val="0"/>
      <w:marTop w:val="0"/>
      <w:marBottom w:val="0"/>
      <w:divBdr>
        <w:top w:val="none" w:sz="0" w:space="0" w:color="auto"/>
        <w:left w:val="none" w:sz="0" w:space="0" w:color="auto"/>
        <w:bottom w:val="none" w:sz="0" w:space="0" w:color="auto"/>
        <w:right w:val="none" w:sz="0" w:space="0" w:color="auto"/>
      </w:divBdr>
    </w:div>
    <w:div w:id="2136944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chart" Target="charts/chart8.xml"/><Relationship Id="rId21" Type="http://schemas.openxmlformats.org/officeDocument/2006/relationships/chart" Target="charts/chart9.xml"/><Relationship Id="rId22" Type="http://schemas.openxmlformats.org/officeDocument/2006/relationships/chart" Target="charts/chart10.xml"/><Relationship Id="rId23" Type="http://schemas.openxmlformats.org/officeDocument/2006/relationships/chart" Target="charts/chart11.xml"/><Relationship Id="rId24" Type="http://schemas.openxmlformats.org/officeDocument/2006/relationships/image" Target="media/image6.jpg"/><Relationship Id="rId25" Type="http://schemas.openxmlformats.org/officeDocument/2006/relationships/image" Target="media/image7.jpg"/><Relationship Id="rId26" Type="http://schemas.openxmlformats.org/officeDocument/2006/relationships/header" Target="header1.xml"/><Relationship Id="rId27" Type="http://schemas.openxmlformats.org/officeDocument/2006/relationships/header" Target="header2.xml"/><Relationship Id="rId28" Type="http://schemas.openxmlformats.org/officeDocument/2006/relationships/footer" Target="footer1.xml"/><Relationship Id="rId2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eader" Target="header3.xml"/><Relationship Id="rId31" Type="http://schemas.openxmlformats.org/officeDocument/2006/relationships/footer" Target="footer3.xml"/><Relationship Id="rId32" Type="http://schemas.openxmlformats.org/officeDocument/2006/relationships/fontTable" Target="fontTable.xml"/><Relationship Id="rId9" Type="http://schemas.openxmlformats.org/officeDocument/2006/relationships/image" Target="media/image2.jp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33" Type="http://schemas.openxmlformats.org/officeDocument/2006/relationships/theme" Target="theme/theme1.xml"/><Relationship Id="rId10" Type="http://schemas.openxmlformats.org/officeDocument/2006/relationships/image" Target="media/image3.jpg"/><Relationship Id="rId11" Type="http://schemas.openxmlformats.org/officeDocument/2006/relationships/image" Target="media/image4.jpg"/><Relationship Id="rId12" Type="http://schemas.openxmlformats.org/officeDocument/2006/relationships/image" Target="media/image5.jpg"/><Relationship Id="rId13" Type="http://schemas.openxmlformats.org/officeDocument/2006/relationships/chart" Target="charts/chart1.xml"/><Relationship Id="rId14" Type="http://schemas.openxmlformats.org/officeDocument/2006/relationships/chart" Target="charts/chart2.xml"/><Relationship Id="rId15" Type="http://schemas.openxmlformats.org/officeDocument/2006/relationships/chart" Target="charts/chart3.xml"/><Relationship Id="rId16" Type="http://schemas.openxmlformats.org/officeDocument/2006/relationships/chart" Target="charts/chart4.xml"/><Relationship Id="rId17" Type="http://schemas.openxmlformats.org/officeDocument/2006/relationships/chart" Target="charts/chart5.xml"/><Relationship Id="rId18" Type="http://schemas.openxmlformats.org/officeDocument/2006/relationships/chart" Target="charts/chart6.xml"/><Relationship Id="rId19" Type="http://schemas.openxmlformats.org/officeDocument/2006/relationships/chart" Target="charts/chart7.xml"/></Relationships>
</file>

<file path=word/_rels/footnotes.xml.rels><?xml version="1.0" encoding="UTF-8" standalone="yes"?>
<Relationships xmlns="http://schemas.openxmlformats.org/package/2006/relationships"><Relationship Id="rId1" Type="http://schemas.openxmlformats.org/officeDocument/2006/relationships/hyperlink" Target="https://dalberg.com/our-ideas/promouvoir-un-developpement-industriel-inclusif-et-faire-du-senegal-un-pole-dinnovation"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4" Type="http://schemas.openxmlformats.org/officeDocument/2006/relationships/oleObject" Target="file:////C:\Users\HP\Downloads\CSI-POPULATION-CHOMAGE.xlsx" TargetMode="External"/><Relationship Id="rId5" Type="http://schemas.openxmlformats.org/officeDocument/2006/relationships/chartUserShapes" Target="../drawings/drawing1.xml"/><Relationship Id="rId1" Type="http://schemas.microsoft.com/office/2011/relationships/chartStyle" Target="style1.xml"/><Relationship Id="rId2" Type="http://schemas.microsoft.com/office/2011/relationships/chartColorStyle" Target="colors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4" Type="http://schemas.openxmlformats.org/officeDocument/2006/relationships/oleObject" Target="file:////C:\Users\HP\Downloads\CSI-POPULATION-CHOMAGE.xlsx" TargetMode="External"/><Relationship Id="rId1" Type="http://schemas.microsoft.com/office/2011/relationships/chartStyle" Target="style2.xml"/><Relationship Id="rId2" Type="http://schemas.microsoft.com/office/2011/relationships/chartColorStyle" Target="colors2.xml"/></Relationships>
</file>

<file path=word/charts/_rels/chart3.xml.rels><?xml version="1.0" encoding="UTF-8" standalone="yes"?>
<Relationships xmlns="http://schemas.openxmlformats.org/package/2006/relationships"><Relationship Id="rId1" Type="http://schemas.microsoft.com/office/2011/relationships/chartStyle" Target="style3.xml"/><Relationship Id="rId2" Type="http://schemas.microsoft.com/office/2011/relationships/chartColorStyle" Target="colors3.xml"/><Relationship Id="rId3" Type="http://schemas.openxmlformats.org/officeDocument/2006/relationships/oleObject" Target="file:////C:\Users\HP\Documents\Classeur%202022\Partie%20II-Diagnostic\Fichier-%20indicateurs%20-%20csi-version2.xlsx" TargetMode="External"/></Relationships>
</file>

<file path=word/charts/_rels/chart4.xml.rels><?xml version="1.0" encoding="UTF-8" standalone="yes"?>
<Relationships xmlns="http://schemas.openxmlformats.org/package/2006/relationships"><Relationship Id="rId1" Type="http://schemas.microsoft.com/office/2011/relationships/chartStyle" Target="style4.xml"/><Relationship Id="rId2" Type="http://schemas.microsoft.com/office/2011/relationships/chartColorStyle" Target="colors4.xml"/><Relationship Id="rId3" Type="http://schemas.openxmlformats.org/officeDocument/2006/relationships/oleObject" Target="file:////C:\Users\HP\Documents\Classeur%202022\Partie%20II-Diagnostic\Fichier-%20indicateurs%20-%20csi-version2.xlsx" TargetMode="External"/></Relationships>
</file>

<file path=word/charts/_rels/chart5.xml.rels><?xml version="1.0" encoding="UTF-8" standalone="yes"?>
<Relationships xmlns="http://schemas.openxmlformats.org/package/2006/relationships"><Relationship Id="rId1" Type="http://schemas.microsoft.com/office/2011/relationships/chartStyle" Target="style5.xml"/><Relationship Id="rId2" Type="http://schemas.microsoft.com/office/2011/relationships/chartColorStyle" Target="colors5.xml"/><Relationship Id="rId3" Type="http://schemas.openxmlformats.org/officeDocument/2006/relationships/oleObject" Target="file:////C:\Users\HP\Documents\zlecafcsi.xlsx" TargetMode="External"/></Relationships>
</file>

<file path=word/charts/_rels/chart6.xml.rels><?xml version="1.0" encoding="UTF-8" standalone="yes"?>
<Relationships xmlns="http://schemas.openxmlformats.org/package/2006/relationships"><Relationship Id="rId1" Type="http://schemas.microsoft.com/office/2011/relationships/chartStyle" Target="style6.xml"/><Relationship Id="rId2" Type="http://schemas.microsoft.com/office/2011/relationships/chartColorStyle" Target="colors6.xml"/><Relationship Id="rId3" Type="http://schemas.openxmlformats.org/officeDocument/2006/relationships/oleObject" Target="../embeddings/oleObject1.bin"/></Relationships>
</file>

<file path=word/charts/_rels/chart7.xml.rels><?xml version="1.0" encoding="UTF-8" standalone="yes"?>
<Relationships xmlns="http://schemas.openxmlformats.org/package/2006/relationships"><Relationship Id="rId1" Type="http://schemas.microsoft.com/office/2011/relationships/chartStyle" Target="style7.xml"/><Relationship Id="rId2" Type="http://schemas.microsoft.com/office/2011/relationships/chartColorStyle" Target="colors7.xml"/><Relationship Id="rId3" Type="http://schemas.openxmlformats.org/officeDocument/2006/relationships/oleObject" Target="../embeddings/oleObject2.bin"/></Relationships>
</file>

<file path=word/charts/_rels/chart8.xml.rels><?xml version="1.0" encoding="UTF-8" standalone="yes"?>
<Relationships xmlns="http://schemas.openxmlformats.org/package/2006/relationships"><Relationship Id="rId1" Type="http://schemas.microsoft.com/office/2011/relationships/chartStyle" Target="style8.xml"/><Relationship Id="rId2" Type="http://schemas.microsoft.com/office/2011/relationships/chartColorStyle" Target="colors8.xml"/><Relationship Id="rId3" Type="http://schemas.openxmlformats.org/officeDocument/2006/relationships/oleObject" Target="file:////C:\Users\HP\Downloads\Fichier-%20indicateurs%20-%20csi-version2.xlsx" TargetMode="External"/></Relationships>
</file>

<file path=word/charts/_rels/chart9.xml.rels><?xml version="1.0" encoding="UTF-8" standalone="yes"?>
<Relationships xmlns="http://schemas.openxmlformats.org/package/2006/relationships"><Relationship Id="rId1" Type="http://schemas.microsoft.com/office/2011/relationships/chartStyle" Target="style9.xml"/><Relationship Id="rId2" Type="http://schemas.microsoft.com/office/2011/relationships/chartColorStyle" Target="colors9.xml"/><Relationship Id="rId3" Type="http://schemas.openxmlformats.org/officeDocument/2006/relationships/oleObject" Target="file:////C:\Users\HP\Downloads\Fichier-%20indicateurs%20-%20csi%20(1).xlsx" TargetMode="External"/></Relationships>
</file>

<file path=word/charts/_rels/chart10.xml.rels><?xml version="1.0" encoding="UTF-8" standalone="yes"?>
<Relationships xmlns="http://schemas.openxmlformats.org/package/2006/relationships"><Relationship Id="rId1" Type="http://schemas.microsoft.com/office/2011/relationships/chartStyle" Target="style10.xml"/><Relationship Id="rId2" Type="http://schemas.microsoft.com/office/2011/relationships/chartColorStyle" Target="colors10.xml"/><Relationship Id="rId3" Type="http://schemas.openxmlformats.org/officeDocument/2006/relationships/oleObject" Target="file:////C:\Users\HP\Downloads\Fichier-%20indicateurs%20-%20csi%20(1).xlsx" TargetMode="External"/></Relationships>
</file>

<file path=word/charts/_rels/chart11.xml.rels><?xml version="1.0" encoding="UTF-8" standalone="yes"?>
<Relationships xmlns="http://schemas.openxmlformats.org/package/2006/relationships"><Relationship Id="rId1" Type="http://schemas.microsoft.com/office/2011/relationships/chartStyle" Target="style11.xml"/><Relationship Id="rId2" Type="http://schemas.microsoft.com/office/2011/relationships/chartColorStyle" Target="colors11.xml"/><Relationship Id="rId3" Type="http://schemas.openxmlformats.org/officeDocument/2006/relationships/oleObject" Target="file:////C:\Users\HP\Documents\zlecafcs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700825234683502"/>
          <c:y val="0.0704314478752205"/>
          <c:w val="0.863971530585704"/>
          <c:h val="0.830125188522997"/>
        </c:manualLayout>
      </c:layout>
      <c:barChart>
        <c:barDir val="bar"/>
        <c:grouping val="stacked"/>
        <c:varyColors val="0"/>
        <c:ser>
          <c:idx val="0"/>
          <c:order val="0"/>
          <c:tx>
            <c:strRef>
              <c:f>'[Graphique dans Microsoft PowerPoint]Pyramide 2021'!$B$1</c:f>
              <c:strCache>
                <c:ptCount val="1"/>
                <c:pt idx="0">
                  <c:v>Hommes</c:v>
                </c:pt>
              </c:strCache>
            </c:strRef>
          </c:tx>
          <c:spPr>
            <a:solidFill>
              <a:schemeClr val="accent6">
                <a:lumMod val="75000"/>
              </a:schemeClr>
            </a:solidFill>
            <a:ln>
              <a:noFill/>
            </a:ln>
            <a:effectLst/>
          </c:spPr>
          <c:invertIfNegative val="0"/>
          <c:cat>
            <c:strRef>
              <c:f>'[Graphique dans Microsoft PowerPoint]Pyramide 2021'!$A$2:$A$22</c:f>
              <c:strCache>
                <c:ptCount val="21"/>
                <c:pt idx="0">
                  <c:v>0-4</c:v>
                </c:pt>
                <c:pt idx="1">
                  <c:v>5-0</c:v>
                </c:pt>
                <c:pt idx="2">
                  <c:v>10-0</c:v>
                </c:pt>
                <c:pt idx="3">
                  <c:v>15-19</c:v>
                </c:pt>
                <c:pt idx="4">
                  <c:v>20-24</c:v>
                </c:pt>
                <c:pt idx="5">
                  <c:v>25-29</c:v>
                </c:pt>
                <c:pt idx="6">
                  <c:v>30-34</c:v>
                </c:pt>
                <c:pt idx="7">
                  <c:v>35-39</c:v>
                </c:pt>
                <c:pt idx="8">
                  <c:v>40-44</c:v>
                </c:pt>
                <c:pt idx="9">
                  <c:v>45-49</c:v>
                </c:pt>
                <c:pt idx="10">
                  <c:v>50-54</c:v>
                </c:pt>
                <c:pt idx="11">
                  <c:v>55-59</c:v>
                </c:pt>
                <c:pt idx="12">
                  <c:v>60-64</c:v>
                </c:pt>
                <c:pt idx="13">
                  <c:v>65-69</c:v>
                </c:pt>
                <c:pt idx="14">
                  <c:v>70-74</c:v>
                </c:pt>
                <c:pt idx="15">
                  <c:v>75-79</c:v>
                </c:pt>
                <c:pt idx="16">
                  <c:v>80-84</c:v>
                </c:pt>
                <c:pt idx="17">
                  <c:v>85-89</c:v>
                </c:pt>
                <c:pt idx="18">
                  <c:v>90-94</c:v>
                </c:pt>
                <c:pt idx="19">
                  <c:v>95-99</c:v>
                </c:pt>
                <c:pt idx="20">
                  <c:v>100+</c:v>
                </c:pt>
              </c:strCache>
            </c:strRef>
          </c:cat>
          <c:val>
            <c:numRef>
              <c:f>'[Graphique dans Microsoft PowerPoint]Pyramide 2021'!$B$2:$B$22</c:f>
              <c:numCache>
                <c:formatCode>General</c:formatCode>
                <c:ptCount val="21"/>
                <c:pt idx="0">
                  <c:v>1.301384E6</c:v>
                </c:pt>
                <c:pt idx="1">
                  <c:v>1.198457E6</c:v>
                </c:pt>
                <c:pt idx="2">
                  <c:v>1.066893E6</c:v>
                </c:pt>
                <c:pt idx="3">
                  <c:v>911685.0</c:v>
                </c:pt>
                <c:pt idx="4">
                  <c:v>764607.0</c:v>
                </c:pt>
                <c:pt idx="5">
                  <c:v>644930.0</c:v>
                </c:pt>
                <c:pt idx="6">
                  <c:v>553789.0</c:v>
                </c:pt>
                <c:pt idx="7">
                  <c:v>465034.0</c:v>
                </c:pt>
                <c:pt idx="8">
                  <c:v>373371.0</c:v>
                </c:pt>
                <c:pt idx="9">
                  <c:v>287594.0</c:v>
                </c:pt>
                <c:pt idx="10">
                  <c:v>218817.0</c:v>
                </c:pt>
                <c:pt idx="11">
                  <c:v>166463.0</c:v>
                </c:pt>
                <c:pt idx="12">
                  <c:v>123901.0</c:v>
                </c:pt>
                <c:pt idx="13">
                  <c:v>92874.0</c:v>
                </c:pt>
                <c:pt idx="14">
                  <c:v>62739.0</c:v>
                </c:pt>
                <c:pt idx="15">
                  <c:v>40065.0</c:v>
                </c:pt>
                <c:pt idx="16">
                  <c:v>18534.0</c:v>
                </c:pt>
                <c:pt idx="17">
                  <c:v>5238.0</c:v>
                </c:pt>
                <c:pt idx="18">
                  <c:v>663.0</c:v>
                </c:pt>
                <c:pt idx="19">
                  <c:v>13.0</c:v>
                </c:pt>
                <c:pt idx="20">
                  <c:v>0.0</c:v>
                </c:pt>
              </c:numCache>
            </c:numRef>
          </c:val>
          <c:extLst xmlns:c16r2="http://schemas.microsoft.com/office/drawing/2015/06/chart">
            <c:ext xmlns:c16="http://schemas.microsoft.com/office/drawing/2014/chart" uri="{C3380CC4-5D6E-409C-BE32-E72D297353CC}">
              <c16:uniqueId val="{00000000-1470-4E7B-9076-188BAF603D94}"/>
            </c:ext>
          </c:extLst>
        </c:ser>
        <c:ser>
          <c:idx val="1"/>
          <c:order val="1"/>
          <c:tx>
            <c:strRef>
              <c:f>'[Graphique dans Microsoft PowerPoint]Pyramide 2021'!$C$1</c:f>
              <c:strCache>
                <c:ptCount val="1"/>
                <c:pt idx="0">
                  <c:v>Femmes</c:v>
                </c:pt>
              </c:strCache>
            </c:strRef>
          </c:tx>
          <c:spPr>
            <a:solidFill>
              <a:schemeClr val="accent6">
                <a:lumMod val="60000"/>
                <a:lumOff val="40000"/>
              </a:schemeClr>
            </a:solidFill>
            <a:ln>
              <a:noFill/>
            </a:ln>
            <a:effectLst/>
          </c:spPr>
          <c:invertIfNegative val="0"/>
          <c:cat>
            <c:strRef>
              <c:f>'[Graphique dans Microsoft PowerPoint]Pyramide 2021'!$A$2:$A$22</c:f>
              <c:strCache>
                <c:ptCount val="21"/>
                <c:pt idx="0">
                  <c:v>0-4</c:v>
                </c:pt>
                <c:pt idx="1">
                  <c:v>5-0</c:v>
                </c:pt>
                <c:pt idx="2">
                  <c:v>10-0</c:v>
                </c:pt>
                <c:pt idx="3">
                  <c:v>15-19</c:v>
                </c:pt>
                <c:pt idx="4">
                  <c:v>20-24</c:v>
                </c:pt>
                <c:pt idx="5">
                  <c:v>25-29</c:v>
                </c:pt>
                <c:pt idx="6">
                  <c:v>30-34</c:v>
                </c:pt>
                <c:pt idx="7">
                  <c:v>35-39</c:v>
                </c:pt>
                <c:pt idx="8">
                  <c:v>40-44</c:v>
                </c:pt>
                <c:pt idx="9">
                  <c:v>45-49</c:v>
                </c:pt>
                <c:pt idx="10">
                  <c:v>50-54</c:v>
                </c:pt>
                <c:pt idx="11">
                  <c:v>55-59</c:v>
                </c:pt>
                <c:pt idx="12">
                  <c:v>60-64</c:v>
                </c:pt>
                <c:pt idx="13">
                  <c:v>65-69</c:v>
                </c:pt>
                <c:pt idx="14">
                  <c:v>70-74</c:v>
                </c:pt>
                <c:pt idx="15">
                  <c:v>75-79</c:v>
                </c:pt>
                <c:pt idx="16">
                  <c:v>80-84</c:v>
                </c:pt>
                <c:pt idx="17">
                  <c:v>85-89</c:v>
                </c:pt>
                <c:pt idx="18">
                  <c:v>90-94</c:v>
                </c:pt>
                <c:pt idx="19">
                  <c:v>95-99</c:v>
                </c:pt>
                <c:pt idx="20">
                  <c:v>100+</c:v>
                </c:pt>
              </c:strCache>
            </c:strRef>
          </c:cat>
          <c:val>
            <c:numRef>
              <c:f>'[Graphique dans Microsoft PowerPoint]Pyramide 2021'!$C$2:$C$22</c:f>
              <c:numCache>
                <c:formatCode>General</c:formatCode>
                <c:ptCount val="21"/>
                <c:pt idx="0">
                  <c:v>-1.26938E6</c:v>
                </c:pt>
                <c:pt idx="1">
                  <c:v>-1.169515E6</c:v>
                </c:pt>
                <c:pt idx="2">
                  <c:v>-1.042179E6</c:v>
                </c:pt>
                <c:pt idx="3">
                  <c:v>-894259.0</c:v>
                </c:pt>
                <c:pt idx="4">
                  <c:v>-759522.0</c:v>
                </c:pt>
                <c:pt idx="5">
                  <c:v>-654989.0</c:v>
                </c:pt>
                <c:pt idx="6">
                  <c:v>-581267.0</c:v>
                </c:pt>
                <c:pt idx="7">
                  <c:v>-504949.0</c:v>
                </c:pt>
                <c:pt idx="8">
                  <c:v>-420378.0</c:v>
                </c:pt>
                <c:pt idx="9">
                  <c:v>-334886.0</c:v>
                </c:pt>
                <c:pt idx="10">
                  <c:v>-262378.0</c:v>
                </c:pt>
                <c:pt idx="11">
                  <c:v>-208550.0</c:v>
                </c:pt>
                <c:pt idx="12">
                  <c:v>-164653.0</c:v>
                </c:pt>
                <c:pt idx="13">
                  <c:v>-127103.0</c:v>
                </c:pt>
                <c:pt idx="14">
                  <c:v>-88101.0</c:v>
                </c:pt>
                <c:pt idx="15">
                  <c:v>-58055.0</c:v>
                </c:pt>
                <c:pt idx="16">
                  <c:v>-28647.0</c:v>
                </c:pt>
                <c:pt idx="17">
                  <c:v>-9222.0</c:v>
                </c:pt>
                <c:pt idx="18">
                  <c:v>-1536.0</c:v>
                </c:pt>
                <c:pt idx="19">
                  <c:v>-90.0</c:v>
                </c:pt>
                <c:pt idx="20">
                  <c:v>0.0</c:v>
                </c:pt>
              </c:numCache>
            </c:numRef>
          </c:val>
          <c:extLst xmlns:c16r2="http://schemas.microsoft.com/office/drawing/2015/06/chart">
            <c:ext xmlns:c16="http://schemas.microsoft.com/office/drawing/2014/chart" uri="{C3380CC4-5D6E-409C-BE32-E72D297353CC}">
              <c16:uniqueId val="{00000001-1470-4E7B-9076-188BAF603D94}"/>
            </c:ext>
          </c:extLst>
        </c:ser>
        <c:dLbls>
          <c:showLegendKey val="0"/>
          <c:showVal val="0"/>
          <c:showCatName val="0"/>
          <c:showSerName val="0"/>
          <c:showPercent val="0"/>
          <c:showBubbleSize val="0"/>
        </c:dLbls>
        <c:gapWidth val="28"/>
        <c:overlap val="100"/>
        <c:axId val="-671181248"/>
        <c:axId val="-598803184"/>
      </c:barChart>
      <c:catAx>
        <c:axId val="-6711812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598803184"/>
        <c:crosses val="autoZero"/>
        <c:auto val="1"/>
        <c:lblAlgn val="ctr"/>
        <c:lblOffset val="100"/>
        <c:noMultiLvlLbl val="0"/>
      </c:catAx>
      <c:valAx>
        <c:axId val="-598803184"/>
        <c:scaling>
          <c:orientation val="minMax"/>
        </c:scaling>
        <c:delete val="0"/>
        <c:axPos val="b"/>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671181248"/>
        <c:crosses val="autoZero"/>
        <c:crossBetween val="between"/>
      </c:valAx>
      <c:spPr>
        <a:noFill/>
        <a:ln>
          <a:noFill/>
          <a:prstDash val="dash"/>
        </a:ln>
        <a:effectLst/>
      </c:spPr>
    </c:plotArea>
    <c:legend>
      <c:legendPos val="r"/>
      <c:layout>
        <c:manualLayout>
          <c:xMode val="edge"/>
          <c:yMode val="edge"/>
          <c:x val="0.775436070491189"/>
          <c:y val="0.378602089222668"/>
          <c:w val="0.142466268639497"/>
          <c:h val="0.28974388216881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legend>
    <c:plotVisOnly val="1"/>
    <c:dispBlanksAs val="gap"/>
    <c:showDLblsOverMax val="0"/>
  </c:chart>
  <c:spPr>
    <a:solidFill>
      <a:schemeClr val="bg1"/>
    </a:solidFill>
    <a:ln w="9525" cap="flat" cmpd="sng" algn="ctr">
      <a:solidFill>
        <a:sysClr val="window" lastClr="FFFFFF">
          <a:lumMod val="75000"/>
        </a:sysClr>
      </a:solidFill>
      <a:prstDash val="dash"/>
      <a:round/>
    </a:ln>
    <a:effectLst/>
  </c:spPr>
  <c:txPr>
    <a:bodyPr/>
    <a:lstStyle/>
    <a:p>
      <a:pPr>
        <a:defRPr>
          <a:latin typeface="Tw Cen MT" panose="020B0602020104020603" pitchFamily="34" charset="0"/>
        </a:defRPr>
      </a:pPr>
      <a:endParaRPr lang="fr-FR"/>
    </a:p>
  </c:txPr>
  <c:externalData r:id="rId4">
    <c:autoUpdate val="0"/>
  </c:externalData>
  <c:userShapes r:id="rId5"/>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989513497442346"/>
          <c:y val="0.130544602072811"/>
          <c:w val="0.87213144317963"/>
          <c:h val="0.591464750142615"/>
        </c:manualLayout>
      </c:layout>
      <c:barChart>
        <c:barDir val="col"/>
        <c:grouping val="clustered"/>
        <c:varyColors val="0"/>
        <c:ser>
          <c:idx val="0"/>
          <c:order val="0"/>
          <c:tx>
            <c:strRef>
              <c:f>'Taux de chomage'!$B$3</c:f>
              <c:strCache>
                <c:ptCount val="1"/>
                <c:pt idx="0">
                  <c:v>Masculin</c:v>
                </c:pt>
              </c:strCache>
            </c:strRef>
          </c:tx>
          <c:spPr>
            <a:solidFill>
              <a:srgbClr val="4472C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w Cen MT" panose="020B0602020104020603" pitchFamily="34" charset="0"/>
                    <a:ea typeface="+mn-ea"/>
                    <a:cs typeface="Times New Roman" panose="02020603050405020304" pitchFamily="18" charset="0"/>
                  </a:defRPr>
                </a:pPr>
                <a:endParaRPr lang="fr-FR"/>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'Taux de chomage'!$A$4:$A$10</c:f>
              <c:numCache>
                <c:formatCode>General</c:formatCode>
                <c:ptCount val="7"/>
                <c:pt idx="0">
                  <c:v>2015.0</c:v>
                </c:pt>
                <c:pt idx="1">
                  <c:v>2016.0</c:v>
                </c:pt>
                <c:pt idx="2">
                  <c:v>2017.0</c:v>
                </c:pt>
                <c:pt idx="3">
                  <c:v>2018.0</c:v>
                </c:pt>
                <c:pt idx="4">
                  <c:v>2019.0</c:v>
                </c:pt>
                <c:pt idx="5">
                  <c:v>2020.0</c:v>
                </c:pt>
                <c:pt idx="6">
                  <c:v>2021.0</c:v>
                </c:pt>
              </c:numCache>
            </c:numRef>
          </c:cat>
          <c:val>
            <c:numRef>
              <c:f>'Taux de chomage'!$B$4:$B$10</c:f>
              <c:numCache>
                <c:formatCode>0.0</c:formatCode>
                <c:ptCount val="7"/>
                <c:pt idx="0">
                  <c:v>10.0</c:v>
                </c:pt>
                <c:pt idx="1">
                  <c:v>10.23333333333333</c:v>
                </c:pt>
                <c:pt idx="2">
                  <c:v>8.325</c:v>
                </c:pt>
                <c:pt idx="3">
                  <c:v>7.375</c:v>
                </c:pt>
                <c:pt idx="4">
                  <c:v>7.624999999999989</c:v>
                </c:pt>
                <c:pt idx="5">
                  <c:v>13.675</c:v>
                </c:pt>
                <c:pt idx="6">
                  <c:v>12.1</c:v>
                </c:pt>
              </c:numCache>
            </c:numRef>
          </c:val>
          <c:extLst xmlns:c16r2="http://schemas.microsoft.com/office/drawing/2015/06/chart">
            <c:ext xmlns:c16="http://schemas.microsoft.com/office/drawing/2014/chart" uri="{C3380CC4-5D6E-409C-BE32-E72D297353CC}">
              <c16:uniqueId val="{00000000-375A-4AB8-99F6-B935A2273910}"/>
            </c:ext>
          </c:extLst>
        </c:ser>
        <c:ser>
          <c:idx val="1"/>
          <c:order val="1"/>
          <c:tx>
            <c:strRef>
              <c:f>'Taux de chomage'!$C$3</c:f>
              <c:strCache>
                <c:ptCount val="1"/>
                <c:pt idx="0">
                  <c:v> Féminin</c:v>
                </c:pt>
              </c:strCache>
            </c:strRef>
          </c:tx>
          <c:spPr>
            <a:solidFill>
              <a:srgbClr val="4472C4">
                <a:lumMod val="60000"/>
                <a:lumOff val="4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w Cen MT" panose="020B0602020104020603" pitchFamily="34" charset="0"/>
                    <a:ea typeface="+mn-ea"/>
                    <a:cs typeface="Times New Roman" panose="02020603050405020304" pitchFamily="18" charset="0"/>
                  </a:defRPr>
                </a:pPr>
                <a:endParaRPr lang="fr-FR"/>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'Taux de chomage'!$A$4:$A$10</c:f>
              <c:numCache>
                <c:formatCode>General</c:formatCode>
                <c:ptCount val="7"/>
                <c:pt idx="0">
                  <c:v>2015.0</c:v>
                </c:pt>
                <c:pt idx="1">
                  <c:v>2016.0</c:v>
                </c:pt>
                <c:pt idx="2">
                  <c:v>2017.0</c:v>
                </c:pt>
                <c:pt idx="3">
                  <c:v>2018.0</c:v>
                </c:pt>
                <c:pt idx="4">
                  <c:v>2019.0</c:v>
                </c:pt>
                <c:pt idx="5">
                  <c:v>2020.0</c:v>
                </c:pt>
                <c:pt idx="6">
                  <c:v>2021.0</c:v>
                </c:pt>
              </c:numCache>
            </c:numRef>
          </c:cat>
          <c:val>
            <c:numRef>
              <c:f>'Taux de chomage'!$C$4:$C$10</c:f>
              <c:numCache>
                <c:formatCode>0.0</c:formatCode>
                <c:ptCount val="7"/>
                <c:pt idx="0">
                  <c:v>23.2</c:v>
                </c:pt>
                <c:pt idx="1">
                  <c:v>24.26666666666667</c:v>
                </c:pt>
                <c:pt idx="2">
                  <c:v>19.625</c:v>
                </c:pt>
                <c:pt idx="3">
                  <c:v>23.875</c:v>
                </c:pt>
                <c:pt idx="4">
                  <c:v>26.675</c:v>
                </c:pt>
                <c:pt idx="5">
                  <c:v>33.2</c:v>
                </c:pt>
                <c:pt idx="6">
                  <c:v>36.7</c:v>
                </c:pt>
              </c:numCache>
            </c:numRef>
          </c:val>
          <c:extLst xmlns:c16r2="http://schemas.microsoft.com/office/drawing/2015/06/chart">
            <c:ext xmlns:c16="http://schemas.microsoft.com/office/drawing/2014/chart" uri="{C3380CC4-5D6E-409C-BE32-E72D297353CC}">
              <c16:uniqueId val="{00000001-375A-4AB8-99F6-B935A2273910}"/>
            </c:ext>
          </c:extLst>
        </c:ser>
        <c:dLbls>
          <c:showLegendKey val="0"/>
          <c:showVal val="0"/>
          <c:showCatName val="0"/>
          <c:showSerName val="0"/>
          <c:showPercent val="0"/>
          <c:showBubbleSize val="0"/>
        </c:dLbls>
        <c:gapWidth val="50"/>
        <c:overlap val="-27"/>
        <c:axId val="-600475488"/>
        <c:axId val="-599966624"/>
      </c:barChart>
      <c:lineChart>
        <c:grouping val="standard"/>
        <c:varyColors val="0"/>
        <c:ser>
          <c:idx val="2"/>
          <c:order val="2"/>
          <c:tx>
            <c:strRef>
              <c:f>'Taux de chomage'!$D$3</c:f>
              <c:strCache>
                <c:ptCount val="1"/>
                <c:pt idx="0">
                  <c:v> National</c:v>
                </c:pt>
              </c:strCache>
            </c:strRef>
          </c:tx>
          <c:spPr>
            <a:ln w="28575" cap="rnd">
              <a:solidFill>
                <a:srgbClr val="FF0000"/>
              </a:solidFill>
              <a:round/>
            </a:ln>
            <a:effectLst/>
          </c:spPr>
          <c:marker>
            <c:symbol val="none"/>
          </c:marker>
          <c:dLbls>
            <c:dLbl>
              <c:idx val="0"/>
              <c:dLblPos val="l"/>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375A-4AB8-99F6-B935A2273910}"/>
                </c:ext>
                <c:ext xmlns:c15="http://schemas.microsoft.com/office/drawing/2012/chart" uri="{CE6537A1-D6FC-4f65-9D91-7224C49458BB}"/>
              </c:extLst>
            </c:dLbl>
            <c:dLbl>
              <c:idx val="1"/>
              <c:layout>
                <c:manualLayout>
                  <c:x val="-0.079486418304683"/>
                  <c:y val="-0.0530857139864101"/>
                </c:manualLayout>
              </c:layout>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375A-4AB8-99F6-B935A2273910}"/>
                </c:ext>
                <c:ext xmlns:c15="http://schemas.microsoft.com/office/drawing/2012/chart" uri="{CE6537A1-D6FC-4f65-9D91-7224C49458BB}"/>
              </c:extLst>
            </c:dLbl>
            <c:dLbl>
              <c:idx val="2"/>
              <c:layout>
                <c:manualLayout>
                  <c:x val="-0.0825001168698065"/>
                  <c:y val="-0.0720915302151324"/>
                </c:manualLayout>
              </c:layout>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375A-4AB8-99F6-B935A2273910}"/>
                </c:ext>
                <c:ext xmlns:c15="http://schemas.microsoft.com/office/drawing/2012/chart" uri="{CE6537A1-D6FC-4f65-9D91-7224C49458BB}"/>
              </c:extLst>
            </c:dLbl>
            <c:dLbl>
              <c:idx val="3"/>
              <c:layout>
                <c:manualLayout>
                  <c:x val="-0.079486418304683"/>
                  <c:y val="-0.0720915302151324"/>
                </c:manualLayout>
              </c:layout>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375A-4AB8-99F6-B935A2273910}"/>
                </c:ext>
                <c:ext xmlns:c15="http://schemas.microsoft.com/office/drawing/2012/chart" uri="{CE6537A1-D6FC-4f65-9D91-7224C49458BB}"/>
              </c:extLst>
            </c:dLbl>
            <c:dLbl>
              <c:idx val="4"/>
              <c:layout>
                <c:manualLayout>
                  <c:x val="-0.0764727197395596"/>
                  <c:y val="-0.0863458923866741"/>
                </c:manualLayout>
              </c:layout>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375A-4AB8-99F6-B935A2273910}"/>
                </c:ext>
                <c:ext xmlns:c15="http://schemas.microsoft.com/office/drawing/2012/chart" uri="{CE6537A1-D6FC-4f65-9D91-7224C49458BB}"/>
              </c:extLst>
            </c:dLbl>
            <c:dLbl>
              <c:idx val="5"/>
              <c:layout>
                <c:manualLayout>
                  <c:x val="-0.079486418304683"/>
                  <c:y val="-0.0578371680435907"/>
                </c:manualLayout>
              </c:layout>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375A-4AB8-99F6-B935A2273910}"/>
                </c:ext>
                <c:ext xmlns:c15="http://schemas.microsoft.com/office/drawing/2012/chart" uri="{CE6537A1-D6FC-4f65-9D91-7224C49458BB}"/>
              </c:extLst>
            </c:dLbl>
            <c:dLbl>
              <c:idx val="6"/>
              <c:layout>
                <c:manualLayout>
                  <c:x val="-0.079486418304683"/>
                  <c:y val="-0.0673400761579518"/>
                </c:manualLayout>
              </c:layout>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375A-4AB8-99F6-B935A2273910}"/>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w Cen MT" panose="020B0602020104020603" pitchFamily="34" charset="0"/>
                    <a:ea typeface="+mn-ea"/>
                    <a:cs typeface="Times New Roman" panose="02020603050405020304" pitchFamily="18" charset="0"/>
                  </a:defRPr>
                </a:pPr>
                <a:endParaRPr lang="fr-FR"/>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'Taux de chomage'!$A$4:$A$10</c:f>
              <c:numCache>
                <c:formatCode>General</c:formatCode>
                <c:ptCount val="7"/>
                <c:pt idx="0">
                  <c:v>2015.0</c:v>
                </c:pt>
                <c:pt idx="1">
                  <c:v>2016.0</c:v>
                </c:pt>
                <c:pt idx="2">
                  <c:v>2017.0</c:v>
                </c:pt>
                <c:pt idx="3">
                  <c:v>2018.0</c:v>
                </c:pt>
                <c:pt idx="4">
                  <c:v>2019.0</c:v>
                </c:pt>
                <c:pt idx="5">
                  <c:v>2020.0</c:v>
                </c:pt>
                <c:pt idx="6">
                  <c:v>2021.0</c:v>
                </c:pt>
              </c:numCache>
            </c:numRef>
          </c:cat>
          <c:val>
            <c:numRef>
              <c:f>'Taux de chomage'!$D$4:$D$10</c:f>
              <c:numCache>
                <c:formatCode>0.0</c:formatCode>
                <c:ptCount val="7"/>
                <c:pt idx="0">
                  <c:v>15.7</c:v>
                </c:pt>
                <c:pt idx="1">
                  <c:v>16.83333333333328</c:v>
                </c:pt>
                <c:pt idx="2">
                  <c:v>13.675</c:v>
                </c:pt>
                <c:pt idx="3">
                  <c:v>15.225</c:v>
                </c:pt>
                <c:pt idx="4">
                  <c:v>16.0</c:v>
                </c:pt>
                <c:pt idx="5">
                  <c:v>22.275</c:v>
                </c:pt>
                <c:pt idx="6">
                  <c:v>23.6</c:v>
                </c:pt>
              </c:numCache>
            </c:numRef>
          </c:val>
          <c:smooth val="0"/>
          <c:extLst xmlns:c16r2="http://schemas.microsoft.com/office/drawing/2015/06/chart">
            <c:ext xmlns:c16="http://schemas.microsoft.com/office/drawing/2014/chart" uri="{C3380CC4-5D6E-409C-BE32-E72D297353CC}">
              <c16:uniqueId val="{00000009-375A-4AB8-99F6-B935A2273910}"/>
            </c:ext>
          </c:extLst>
        </c:ser>
        <c:dLbls>
          <c:showLegendKey val="0"/>
          <c:showVal val="0"/>
          <c:showCatName val="0"/>
          <c:showSerName val="0"/>
          <c:showPercent val="0"/>
          <c:showBubbleSize val="0"/>
        </c:dLbls>
        <c:marker val="1"/>
        <c:smooth val="0"/>
        <c:axId val="-600475488"/>
        <c:axId val="-599966624"/>
      </c:lineChart>
      <c:catAx>
        <c:axId val="-600475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w Cen MT" panose="020B0602020104020603" pitchFamily="34" charset="0"/>
                <a:ea typeface="+mn-ea"/>
                <a:cs typeface="Times New Roman" panose="02020603050405020304" pitchFamily="18" charset="0"/>
              </a:defRPr>
            </a:pPr>
            <a:endParaRPr lang="fr-FR"/>
          </a:p>
        </c:txPr>
        <c:crossAx val="-599966624"/>
        <c:crosses val="autoZero"/>
        <c:auto val="1"/>
        <c:lblAlgn val="ctr"/>
        <c:lblOffset val="100"/>
        <c:noMultiLvlLbl val="0"/>
      </c:catAx>
      <c:valAx>
        <c:axId val="-599966624"/>
        <c:scaling>
          <c:orientation val="minMax"/>
        </c:scaling>
        <c:delete val="0"/>
        <c:axPos val="l"/>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w Cen MT" panose="020B0602020104020603" pitchFamily="34" charset="0"/>
                <a:ea typeface="+mn-ea"/>
                <a:cs typeface="Times New Roman" panose="02020603050405020304" pitchFamily="18" charset="0"/>
              </a:defRPr>
            </a:pPr>
            <a:endParaRPr lang="fr-FR"/>
          </a:p>
        </c:txPr>
        <c:crossAx val="-600475488"/>
        <c:crosses val="autoZero"/>
        <c:crossBetween val="between"/>
      </c:valAx>
      <c:spPr>
        <a:noFill/>
        <a:ln>
          <a:noFill/>
        </a:ln>
        <a:effectLst/>
      </c:spPr>
    </c:plotArea>
    <c:legend>
      <c:legendPos val="b"/>
      <c:layout>
        <c:manualLayout>
          <c:xMode val="edge"/>
          <c:yMode val="edge"/>
          <c:x val="0.229812731161622"/>
          <c:y val="0.852277468489363"/>
          <c:w val="0.482600724120256"/>
          <c:h val="0.100128665831102"/>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w Cen MT" panose="020B0602020104020603" pitchFamily="34" charset="0"/>
              <a:ea typeface="+mn-ea"/>
              <a:cs typeface="Times New Roman" panose="02020603050405020304" pitchFamily="18" charset="0"/>
            </a:defRPr>
          </a:pPr>
          <a:endParaRPr lang="fr-FR"/>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2700" cap="flat" cmpd="sng" algn="ctr">
      <a:solidFill>
        <a:sysClr val="window" lastClr="FFFFFF">
          <a:lumMod val="65000"/>
        </a:sysClr>
      </a:solidFill>
      <a:prstDash val="lgDash"/>
      <a:round/>
    </a:ln>
    <a:effectLst/>
  </c:spPr>
  <c:txPr>
    <a:bodyPr/>
    <a:lstStyle/>
    <a:p>
      <a:pPr>
        <a:defRPr sz="1200">
          <a:solidFill>
            <a:sysClr val="windowText" lastClr="000000"/>
          </a:solidFill>
          <a:latin typeface="Tw Cen MT" panose="020B0602020104020603" pitchFamily="34" charset="0"/>
          <a:cs typeface="Times New Roman" panose="02020603050405020304" pitchFamily="18" charset="0"/>
        </a:defRPr>
      </a:pPr>
      <a:endParaRPr lang="fr-FR"/>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469506491060815"/>
          <c:y val="0.135472408795432"/>
          <c:w val="0.499482049048802"/>
          <c:h val="0.781824296271926"/>
        </c:manualLayout>
      </c:layout>
      <c:barChart>
        <c:barDir val="bar"/>
        <c:grouping val="clustered"/>
        <c:varyColors val="0"/>
        <c:ser>
          <c:idx val="0"/>
          <c:order val="0"/>
          <c:tx>
            <c:strRef>
              <c:f>'capacité productive'!$C$3</c:f>
              <c:strCache>
                <c:ptCount val="1"/>
                <c:pt idx="0">
                  <c:v>2010</c:v>
                </c:pt>
              </c:strCache>
            </c:strRef>
          </c:tx>
          <c:spPr>
            <a:solidFill>
              <a:schemeClr val="accent1">
                <a:shade val="65000"/>
              </a:schemeClr>
            </a:solidFill>
            <a:ln>
              <a:noFill/>
            </a:ln>
            <a:effectLst/>
          </c:spPr>
          <c:invertIfNegative val="0"/>
          <c:cat>
            <c:strRef>
              <c:f>'capacité productive'!$D$2:$L$2</c:f>
              <c:strCache>
                <c:ptCount val="9"/>
                <c:pt idx="0">
                  <c:v>Indice des capacités productives (PCI)</c:v>
                </c:pt>
                <c:pt idx="1">
                  <c:v>Capital humain</c:v>
                </c:pt>
                <c:pt idx="2">
                  <c:v>Capital naturel</c:v>
                </c:pt>
                <c:pt idx="3">
                  <c:v>Énergie</c:v>
                </c:pt>
                <c:pt idx="4">
                  <c:v>Transport</c:v>
                </c:pt>
                <c:pt idx="5">
                  <c:v>Technologies de l'information et de la communication (TIC)</c:v>
                </c:pt>
                <c:pt idx="6">
                  <c:v>Institutions</c:v>
                </c:pt>
                <c:pt idx="7">
                  <c:v>Secteur privé</c:v>
                </c:pt>
                <c:pt idx="8">
                  <c:v>Changement structurel</c:v>
                </c:pt>
              </c:strCache>
            </c:strRef>
          </c:cat>
          <c:val>
            <c:numRef>
              <c:f>'capacité productive'!$D$3:$L$3</c:f>
            </c:numRef>
          </c:val>
          <c:extLst xmlns:c16r2="http://schemas.microsoft.com/office/drawing/2015/06/chart">
            <c:ext xmlns:c16="http://schemas.microsoft.com/office/drawing/2014/chart" uri="{C3380CC4-5D6E-409C-BE32-E72D297353CC}">
              <c16:uniqueId val="{00000000-03F2-41FB-B94B-893519EF4E95}"/>
            </c:ext>
          </c:extLst>
        </c:ser>
        <c:ser>
          <c:idx val="1"/>
          <c:order val="1"/>
          <c:tx>
            <c:strRef>
              <c:f>'capacité productive'!$C$4</c:f>
              <c:strCache>
                <c:ptCount val="1"/>
                <c:pt idx="0">
                  <c:v>2015</c:v>
                </c:pt>
              </c:strCache>
            </c:strRef>
          </c:tx>
          <c:spPr>
            <a:solidFill>
              <a:schemeClr val="accent1"/>
            </a:solidFill>
            <a:ln>
              <a:noFill/>
            </a:ln>
            <a:effectLst/>
          </c:spPr>
          <c:invertIfNegative val="0"/>
          <c:cat>
            <c:strRef>
              <c:f>'capacité productive'!$D$2:$L$2</c:f>
              <c:strCache>
                <c:ptCount val="9"/>
                <c:pt idx="0">
                  <c:v>Indice des capacités productives (PCI)</c:v>
                </c:pt>
                <c:pt idx="1">
                  <c:v>Capital humain</c:v>
                </c:pt>
                <c:pt idx="2">
                  <c:v>Capital naturel</c:v>
                </c:pt>
                <c:pt idx="3">
                  <c:v>Énergie</c:v>
                </c:pt>
                <c:pt idx="4">
                  <c:v>Transport</c:v>
                </c:pt>
                <c:pt idx="5">
                  <c:v>Technologies de l'information et de la communication (TIC)</c:v>
                </c:pt>
                <c:pt idx="6">
                  <c:v>Institutions</c:v>
                </c:pt>
                <c:pt idx="7">
                  <c:v>Secteur privé</c:v>
                </c:pt>
                <c:pt idx="8">
                  <c:v>Changement structurel</c:v>
                </c:pt>
              </c:strCache>
            </c:strRef>
          </c:cat>
          <c:val>
            <c:numRef>
              <c:f>'capacité productive'!$D$4:$L$4</c:f>
            </c:numRef>
          </c:val>
          <c:extLst xmlns:c16r2="http://schemas.microsoft.com/office/drawing/2015/06/chart">
            <c:ext xmlns:c16="http://schemas.microsoft.com/office/drawing/2014/chart" uri="{C3380CC4-5D6E-409C-BE32-E72D297353CC}">
              <c16:uniqueId val="{00000001-03F2-41FB-B94B-893519EF4E95}"/>
            </c:ext>
          </c:extLst>
        </c:ser>
        <c:ser>
          <c:idx val="2"/>
          <c:order val="2"/>
          <c:tx>
            <c:strRef>
              <c:f>'capacité productive'!$C$5</c:f>
              <c:strCache>
                <c:ptCount val="1"/>
                <c:pt idx="0">
                  <c:v>2018</c:v>
                </c:pt>
              </c:strCache>
            </c:strRef>
          </c:tx>
          <c:spPr>
            <a:solidFill>
              <a:schemeClr val="accent1">
                <a:tint val="65000"/>
              </a:schemeClr>
            </a:solidFill>
            <a:ln>
              <a:noFill/>
            </a:ln>
            <a:effectLst/>
          </c:spPr>
          <c:invertIfNegative val="0"/>
          <c:dLbls>
            <c:numFmt formatCode="#,##0.00"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Tw Cen MT" panose="020B0602020104020603" pitchFamily="34" charset="0"/>
                    <a:ea typeface="+mn-ea"/>
                    <a:cs typeface="+mn-cs"/>
                  </a:defRPr>
                </a:pPr>
                <a:endParaRPr lang="fr-FR"/>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'capacité productive'!$D$2:$L$2</c:f>
              <c:strCache>
                <c:ptCount val="9"/>
                <c:pt idx="0">
                  <c:v>Indice des capacités productives (PCI)</c:v>
                </c:pt>
                <c:pt idx="1">
                  <c:v>Capital humain</c:v>
                </c:pt>
                <c:pt idx="2">
                  <c:v>Capital naturel</c:v>
                </c:pt>
                <c:pt idx="3">
                  <c:v>Énergie</c:v>
                </c:pt>
                <c:pt idx="4">
                  <c:v>Transport</c:v>
                </c:pt>
                <c:pt idx="5">
                  <c:v>Technologies de l'information et de la communication (TIC)</c:v>
                </c:pt>
                <c:pt idx="6">
                  <c:v>Institutions</c:v>
                </c:pt>
                <c:pt idx="7">
                  <c:v>Secteur privé</c:v>
                </c:pt>
                <c:pt idx="8">
                  <c:v>Changement structurel</c:v>
                </c:pt>
              </c:strCache>
            </c:strRef>
          </c:cat>
          <c:val>
            <c:numRef>
              <c:f>'capacité productive'!$D$5:$L$5</c:f>
              <c:numCache>
                <c:formatCode>General</c:formatCode>
                <c:ptCount val="9"/>
                <c:pt idx="0">
                  <c:v>26.3068640411</c:v>
                </c:pt>
                <c:pt idx="1">
                  <c:v>39.2098914122</c:v>
                </c:pt>
                <c:pt idx="2">
                  <c:v>51.60132447369993</c:v>
                </c:pt>
                <c:pt idx="3">
                  <c:v>24.2388081838</c:v>
                </c:pt>
                <c:pt idx="4">
                  <c:v>9.0058113026</c:v>
                </c:pt>
                <c:pt idx="5">
                  <c:v>7.3214384554</c:v>
                </c:pt>
                <c:pt idx="6">
                  <c:v>51.7768040255</c:v>
                </c:pt>
                <c:pt idx="7">
                  <c:v>78.64200894209984</c:v>
                </c:pt>
                <c:pt idx="8">
                  <c:v>17.42110883639998</c:v>
                </c:pt>
              </c:numCache>
            </c:numRef>
          </c:val>
          <c:extLst xmlns:c16r2="http://schemas.microsoft.com/office/drawing/2015/06/chart">
            <c:ext xmlns:c16="http://schemas.microsoft.com/office/drawing/2014/chart" uri="{C3380CC4-5D6E-409C-BE32-E72D297353CC}">
              <c16:uniqueId val="{00000002-03F2-41FB-B94B-893519EF4E95}"/>
            </c:ext>
          </c:extLst>
        </c:ser>
        <c:dLbls>
          <c:showLegendKey val="0"/>
          <c:showVal val="0"/>
          <c:showCatName val="0"/>
          <c:showSerName val="0"/>
          <c:showPercent val="0"/>
          <c:showBubbleSize val="0"/>
        </c:dLbls>
        <c:gapWidth val="50"/>
        <c:axId val="-598779504"/>
        <c:axId val="-598777728"/>
      </c:barChart>
      <c:catAx>
        <c:axId val="-5987795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598777728"/>
        <c:crosses val="autoZero"/>
        <c:auto val="1"/>
        <c:lblAlgn val="ctr"/>
        <c:lblOffset val="100"/>
        <c:noMultiLvlLbl val="0"/>
      </c:catAx>
      <c:valAx>
        <c:axId val="-59877772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5987795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lumMod val="50000"/>
        </a:schemeClr>
      </a:solidFill>
      <a:prstDash val="dash"/>
      <a:round/>
    </a:ln>
    <a:effectLst/>
  </c:spPr>
  <c:txPr>
    <a:bodyPr/>
    <a:lstStyle/>
    <a:p>
      <a:pPr>
        <a:defRPr sz="1200">
          <a:latin typeface="Tw Cen MT" panose="020B0602020104020603" pitchFamily="34" charset="0"/>
        </a:defRPr>
      </a:pPr>
      <a:endParaRPr lang="fr-F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7755355501698"/>
          <c:y val="0.0409172243570671"/>
          <c:w val="0.887458704885864"/>
          <c:h val="0.685318739095878"/>
        </c:manualLayout>
      </c:layout>
      <c:barChart>
        <c:barDir val="col"/>
        <c:grouping val="clustered"/>
        <c:varyColors val="0"/>
        <c:ser>
          <c:idx val="0"/>
          <c:order val="0"/>
          <c:spPr>
            <a:solidFill>
              <a:schemeClr val="accent1"/>
            </a:solidFill>
            <a:ln>
              <a:noFill/>
            </a:ln>
            <a:effectLst/>
          </c:spPr>
          <c:invertIfNegative val="0"/>
          <c:cat>
            <c:strRef>
              <c:f>Industrialisation!$A$40:$A$49</c:f>
              <c:strCache>
                <c:ptCount val="10"/>
                <c:pt idx="0">
                  <c:v>Afrique du sud</c:v>
                </c:pt>
                <c:pt idx="1">
                  <c:v>Maroc</c:v>
                </c:pt>
                <c:pt idx="2">
                  <c:v>Egypte</c:v>
                </c:pt>
                <c:pt idx="3">
                  <c:v>Tunisie</c:v>
                </c:pt>
                <c:pt idx="4">
                  <c:v>Maurice</c:v>
                </c:pt>
                <c:pt idx="5">
                  <c:v>Eswatini</c:v>
                </c:pt>
                <c:pt idx="6">
                  <c:v>Sénégal</c:v>
                </c:pt>
                <c:pt idx="7">
                  <c:v>Nigeria</c:v>
                </c:pt>
                <c:pt idx="8">
                  <c:v>Kenya</c:v>
                </c:pt>
                <c:pt idx="9">
                  <c:v>Namibie</c:v>
                </c:pt>
              </c:strCache>
            </c:strRef>
          </c:cat>
          <c:val>
            <c:numRef>
              <c:f>Industrialisation!$B$40:$B$49</c:f>
            </c:numRef>
          </c:val>
          <c:extLst xmlns:c16r2="http://schemas.microsoft.com/office/drawing/2015/06/chart">
            <c:ext xmlns:c16="http://schemas.microsoft.com/office/drawing/2014/chart" uri="{C3380CC4-5D6E-409C-BE32-E72D297353CC}">
              <c16:uniqueId val="{00000000-CBD7-4925-B4AA-666AD7C78977}"/>
            </c:ext>
          </c:extLst>
        </c:ser>
        <c:ser>
          <c:idx val="1"/>
          <c:order val="1"/>
          <c:spPr>
            <a:solidFill>
              <a:schemeClr val="accent2"/>
            </a:solidFill>
            <a:ln>
              <a:noFill/>
            </a:ln>
            <a:effectLst/>
          </c:spPr>
          <c:invertIfNegative val="0"/>
          <c:cat>
            <c:strRef>
              <c:f>Industrialisation!$A$40:$A$49</c:f>
              <c:strCache>
                <c:ptCount val="10"/>
                <c:pt idx="0">
                  <c:v>Afrique du sud</c:v>
                </c:pt>
                <c:pt idx="1">
                  <c:v>Maroc</c:v>
                </c:pt>
                <c:pt idx="2">
                  <c:v>Egypte</c:v>
                </c:pt>
                <c:pt idx="3">
                  <c:v>Tunisie</c:v>
                </c:pt>
                <c:pt idx="4">
                  <c:v>Maurice</c:v>
                </c:pt>
                <c:pt idx="5">
                  <c:v>Eswatini</c:v>
                </c:pt>
                <c:pt idx="6">
                  <c:v>Sénégal</c:v>
                </c:pt>
                <c:pt idx="7">
                  <c:v>Nigeria</c:v>
                </c:pt>
                <c:pt idx="8">
                  <c:v>Kenya</c:v>
                </c:pt>
                <c:pt idx="9">
                  <c:v>Namibie</c:v>
                </c:pt>
              </c:strCache>
            </c:strRef>
          </c:cat>
          <c:val>
            <c:numRef>
              <c:f>Industrialisation!$C$40:$C$49</c:f>
            </c:numRef>
          </c:val>
          <c:extLst xmlns:c16r2="http://schemas.microsoft.com/office/drawing/2015/06/chart">
            <c:ext xmlns:c16="http://schemas.microsoft.com/office/drawing/2014/chart" uri="{C3380CC4-5D6E-409C-BE32-E72D297353CC}">
              <c16:uniqueId val="{00000001-CBD7-4925-B4AA-666AD7C78977}"/>
            </c:ext>
          </c:extLst>
        </c:ser>
        <c:ser>
          <c:idx val="2"/>
          <c:order val="2"/>
          <c:spPr>
            <a:solidFill>
              <a:schemeClr val="accent3"/>
            </a:solidFill>
            <a:ln>
              <a:noFill/>
            </a:ln>
            <a:effectLst/>
          </c:spPr>
          <c:invertIfNegative val="0"/>
          <c:cat>
            <c:strRef>
              <c:f>Industrialisation!$A$40:$A$49</c:f>
              <c:strCache>
                <c:ptCount val="10"/>
                <c:pt idx="0">
                  <c:v>Afrique du sud</c:v>
                </c:pt>
                <c:pt idx="1">
                  <c:v>Maroc</c:v>
                </c:pt>
                <c:pt idx="2">
                  <c:v>Egypte</c:v>
                </c:pt>
                <c:pt idx="3">
                  <c:v>Tunisie</c:v>
                </c:pt>
                <c:pt idx="4">
                  <c:v>Maurice</c:v>
                </c:pt>
                <c:pt idx="5">
                  <c:v>Eswatini</c:v>
                </c:pt>
                <c:pt idx="6">
                  <c:v>Sénégal</c:v>
                </c:pt>
                <c:pt idx="7">
                  <c:v>Nigeria</c:v>
                </c:pt>
                <c:pt idx="8">
                  <c:v>Kenya</c:v>
                </c:pt>
                <c:pt idx="9">
                  <c:v>Namibie</c:v>
                </c:pt>
              </c:strCache>
            </c:strRef>
          </c:cat>
          <c:val>
            <c:numRef>
              <c:f>Industrialisation!$D$40:$D$49</c:f>
            </c:numRef>
          </c:val>
          <c:extLst xmlns:c16r2="http://schemas.microsoft.com/office/drawing/2015/06/chart">
            <c:ext xmlns:c16="http://schemas.microsoft.com/office/drawing/2014/chart" uri="{C3380CC4-5D6E-409C-BE32-E72D297353CC}">
              <c16:uniqueId val="{00000002-CBD7-4925-B4AA-666AD7C78977}"/>
            </c:ext>
          </c:extLst>
        </c:ser>
        <c:ser>
          <c:idx val="3"/>
          <c:order val="3"/>
          <c:spPr>
            <a:solidFill>
              <a:schemeClr val="accent4"/>
            </a:solidFill>
            <a:ln>
              <a:noFill/>
            </a:ln>
            <a:effectLst/>
          </c:spPr>
          <c:invertIfNegative val="0"/>
          <c:cat>
            <c:strRef>
              <c:f>Industrialisation!$A$40:$A$49</c:f>
              <c:strCache>
                <c:ptCount val="10"/>
                <c:pt idx="0">
                  <c:v>Afrique du sud</c:v>
                </c:pt>
                <c:pt idx="1">
                  <c:v>Maroc</c:v>
                </c:pt>
                <c:pt idx="2">
                  <c:v>Egypte</c:v>
                </c:pt>
                <c:pt idx="3">
                  <c:v>Tunisie</c:v>
                </c:pt>
                <c:pt idx="4">
                  <c:v>Maurice</c:v>
                </c:pt>
                <c:pt idx="5">
                  <c:v>Eswatini</c:v>
                </c:pt>
                <c:pt idx="6">
                  <c:v>Sénégal</c:v>
                </c:pt>
                <c:pt idx="7">
                  <c:v>Nigeria</c:v>
                </c:pt>
                <c:pt idx="8">
                  <c:v>Kenya</c:v>
                </c:pt>
                <c:pt idx="9">
                  <c:v>Namibie</c:v>
                </c:pt>
              </c:strCache>
            </c:strRef>
          </c:cat>
          <c:val>
            <c:numRef>
              <c:f>Industrialisation!$E$40:$E$49</c:f>
            </c:numRef>
          </c:val>
          <c:extLst xmlns:c16r2="http://schemas.microsoft.com/office/drawing/2015/06/chart">
            <c:ext xmlns:c16="http://schemas.microsoft.com/office/drawing/2014/chart" uri="{C3380CC4-5D6E-409C-BE32-E72D297353CC}">
              <c16:uniqueId val="{00000003-CBD7-4925-B4AA-666AD7C78977}"/>
            </c:ext>
          </c:extLst>
        </c:ser>
        <c:ser>
          <c:idx val="4"/>
          <c:order val="4"/>
          <c:spPr>
            <a:solidFill>
              <a:schemeClr val="accent5"/>
            </a:solidFill>
            <a:ln>
              <a:noFill/>
            </a:ln>
            <a:effectLst/>
          </c:spPr>
          <c:invertIfNegative val="0"/>
          <c:cat>
            <c:strRef>
              <c:f>Industrialisation!$A$40:$A$49</c:f>
              <c:strCache>
                <c:ptCount val="10"/>
                <c:pt idx="0">
                  <c:v>Afrique du sud</c:v>
                </c:pt>
                <c:pt idx="1">
                  <c:v>Maroc</c:v>
                </c:pt>
                <c:pt idx="2">
                  <c:v>Egypte</c:v>
                </c:pt>
                <c:pt idx="3">
                  <c:v>Tunisie</c:v>
                </c:pt>
                <c:pt idx="4">
                  <c:v>Maurice</c:v>
                </c:pt>
                <c:pt idx="5">
                  <c:v>Eswatini</c:v>
                </c:pt>
                <c:pt idx="6">
                  <c:v>Sénégal</c:v>
                </c:pt>
                <c:pt idx="7">
                  <c:v>Nigeria</c:v>
                </c:pt>
                <c:pt idx="8">
                  <c:v>Kenya</c:v>
                </c:pt>
                <c:pt idx="9">
                  <c:v>Namibie</c:v>
                </c:pt>
              </c:strCache>
            </c:strRef>
          </c:cat>
          <c:val>
            <c:numRef>
              <c:f>Industrialisation!$F$40:$F$49</c:f>
            </c:numRef>
          </c:val>
          <c:extLst xmlns:c16r2="http://schemas.microsoft.com/office/drawing/2015/06/chart">
            <c:ext xmlns:c16="http://schemas.microsoft.com/office/drawing/2014/chart" uri="{C3380CC4-5D6E-409C-BE32-E72D297353CC}">
              <c16:uniqueId val="{00000004-CBD7-4925-B4AA-666AD7C78977}"/>
            </c:ext>
          </c:extLst>
        </c:ser>
        <c:ser>
          <c:idx val="5"/>
          <c:order val="5"/>
          <c:spPr>
            <a:solidFill>
              <a:schemeClr val="accent6"/>
            </a:solidFill>
            <a:ln>
              <a:noFill/>
            </a:ln>
            <a:effectLst/>
          </c:spPr>
          <c:invertIfNegative val="0"/>
          <c:cat>
            <c:strRef>
              <c:f>Industrialisation!$A$40:$A$49</c:f>
              <c:strCache>
                <c:ptCount val="10"/>
                <c:pt idx="0">
                  <c:v>Afrique du sud</c:v>
                </c:pt>
                <c:pt idx="1">
                  <c:v>Maroc</c:v>
                </c:pt>
                <c:pt idx="2">
                  <c:v>Egypte</c:v>
                </c:pt>
                <c:pt idx="3">
                  <c:v>Tunisie</c:v>
                </c:pt>
                <c:pt idx="4">
                  <c:v>Maurice</c:v>
                </c:pt>
                <c:pt idx="5">
                  <c:v>Eswatini</c:v>
                </c:pt>
                <c:pt idx="6">
                  <c:v>Sénégal</c:v>
                </c:pt>
                <c:pt idx="7">
                  <c:v>Nigeria</c:v>
                </c:pt>
                <c:pt idx="8">
                  <c:v>Kenya</c:v>
                </c:pt>
                <c:pt idx="9">
                  <c:v>Namibie</c:v>
                </c:pt>
              </c:strCache>
            </c:strRef>
          </c:cat>
          <c:val>
            <c:numRef>
              <c:f>Industrialisation!$G$40:$G$49</c:f>
            </c:numRef>
          </c:val>
          <c:extLst xmlns:c16r2="http://schemas.microsoft.com/office/drawing/2015/06/chart">
            <c:ext xmlns:c16="http://schemas.microsoft.com/office/drawing/2014/chart" uri="{C3380CC4-5D6E-409C-BE32-E72D297353CC}">
              <c16:uniqueId val="{00000005-CBD7-4925-B4AA-666AD7C78977}"/>
            </c:ext>
          </c:extLst>
        </c:ser>
        <c:ser>
          <c:idx val="6"/>
          <c:order val="6"/>
          <c:spPr>
            <a:solidFill>
              <a:schemeClr val="accent1">
                <a:lumMod val="60000"/>
              </a:schemeClr>
            </a:solidFill>
            <a:ln>
              <a:noFill/>
            </a:ln>
            <a:effectLst/>
          </c:spPr>
          <c:invertIfNegative val="0"/>
          <c:dPt>
            <c:idx val="6"/>
            <c:invertIfNegative val="0"/>
            <c:bubble3D val="0"/>
            <c:spPr>
              <a:solidFill>
                <a:schemeClr val="accent6">
                  <a:lumMod val="60000"/>
                  <a:lumOff val="40000"/>
                </a:schemeClr>
              </a:solidFill>
              <a:ln>
                <a:noFill/>
              </a:ln>
              <a:effectLst/>
            </c:spPr>
            <c:extLst xmlns:c16r2="http://schemas.microsoft.com/office/drawing/2015/06/chart">
              <c:ext xmlns:c16="http://schemas.microsoft.com/office/drawing/2014/chart" uri="{C3380CC4-5D6E-409C-BE32-E72D297353CC}">
                <c16:uniqueId val="{00000000-BCE1-584D-ABAB-B4F639179F7E}"/>
              </c:ext>
            </c:extLst>
          </c:dPt>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Tw Cen MT" panose="020B0602020104020603" pitchFamily="34" charset="0"/>
                    <a:ea typeface="+mn-ea"/>
                    <a:cs typeface="+mn-cs"/>
                  </a:defRPr>
                </a:pPr>
                <a:endParaRPr lang="fr-FR"/>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Industrialisation!$A$40:$A$49</c:f>
              <c:strCache>
                <c:ptCount val="10"/>
                <c:pt idx="0">
                  <c:v>Afrique du sud</c:v>
                </c:pt>
                <c:pt idx="1">
                  <c:v>Maroc</c:v>
                </c:pt>
                <c:pt idx="2">
                  <c:v>Egypte</c:v>
                </c:pt>
                <c:pt idx="3">
                  <c:v>Tunisie</c:v>
                </c:pt>
                <c:pt idx="4">
                  <c:v>Maurice</c:v>
                </c:pt>
                <c:pt idx="5">
                  <c:v>Eswatini</c:v>
                </c:pt>
                <c:pt idx="6">
                  <c:v>Sénégal</c:v>
                </c:pt>
                <c:pt idx="7">
                  <c:v>Nigeria</c:v>
                </c:pt>
                <c:pt idx="8">
                  <c:v>Kenya</c:v>
                </c:pt>
                <c:pt idx="9">
                  <c:v>Namibie</c:v>
                </c:pt>
              </c:strCache>
            </c:strRef>
          </c:cat>
          <c:val>
            <c:numRef>
              <c:f>Industrialisation!$H$40:$H$49</c:f>
              <c:numCache>
                <c:formatCode>0.00</c:formatCode>
                <c:ptCount val="10"/>
                <c:pt idx="0">
                  <c:v>0.8404</c:v>
                </c:pt>
                <c:pt idx="1">
                  <c:v>0.8327</c:v>
                </c:pt>
                <c:pt idx="2">
                  <c:v>0.7877</c:v>
                </c:pt>
                <c:pt idx="3">
                  <c:v>0.7714</c:v>
                </c:pt>
                <c:pt idx="4">
                  <c:v>0.6685</c:v>
                </c:pt>
                <c:pt idx="5">
                  <c:v>0.6423</c:v>
                </c:pt>
                <c:pt idx="6">
                  <c:v>0.6147</c:v>
                </c:pt>
                <c:pt idx="7">
                  <c:v>0.6046</c:v>
                </c:pt>
                <c:pt idx="8">
                  <c:v>0.6029</c:v>
                </c:pt>
                <c:pt idx="9">
                  <c:v>0.6014</c:v>
                </c:pt>
              </c:numCache>
            </c:numRef>
          </c:val>
          <c:extLst xmlns:c16r2="http://schemas.microsoft.com/office/drawing/2015/06/chart">
            <c:ext xmlns:c16="http://schemas.microsoft.com/office/drawing/2014/chart" uri="{C3380CC4-5D6E-409C-BE32-E72D297353CC}">
              <c16:uniqueId val="{00000006-CBD7-4925-B4AA-666AD7C78977}"/>
            </c:ext>
          </c:extLst>
        </c:ser>
        <c:dLbls>
          <c:showLegendKey val="0"/>
          <c:showVal val="0"/>
          <c:showCatName val="0"/>
          <c:showSerName val="0"/>
          <c:showPercent val="0"/>
          <c:showBubbleSize val="0"/>
        </c:dLbls>
        <c:gapWidth val="50"/>
        <c:overlap val="-27"/>
        <c:axId val="-600658656"/>
        <c:axId val="-600482896"/>
      </c:barChart>
      <c:catAx>
        <c:axId val="-6006586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600482896"/>
        <c:crosses val="autoZero"/>
        <c:auto val="1"/>
        <c:lblAlgn val="ctr"/>
        <c:lblOffset val="100"/>
        <c:noMultiLvlLbl val="0"/>
      </c:catAx>
      <c:valAx>
        <c:axId val="-600482896"/>
        <c:scaling>
          <c:orientation val="minMax"/>
        </c:scaling>
        <c:delete val="0"/>
        <c:axPos val="l"/>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6006586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lumMod val="75000"/>
        </a:schemeClr>
      </a:solidFill>
      <a:prstDash val="lgDash"/>
      <a:round/>
    </a:ln>
    <a:effectLst/>
  </c:spPr>
  <c:txPr>
    <a:bodyPr/>
    <a:lstStyle/>
    <a:p>
      <a:pPr>
        <a:defRPr sz="1200">
          <a:latin typeface="Tw Cen MT" panose="020B0602020104020603" pitchFamily="34" charset="0"/>
        </a:defRPr>
      </a:pPr>
      <a:endParaRPr lang="fr-F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92D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Tw Cen MT" panose="020B0602020104020603" pitchFamily="34" charset="0"/>
                    <a:ea typeface="+mn-ea"/>
                    <a:cs typeface="+mn-cs"/>
                  </a:defRPr>
                </a:pPr>
                <a:endParaRPr lang="fr-FR"/>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Feuil2!$A$79:$A$93</c:f>
              <c:strCache>
                <c:ptCount val="15"/>
                <c:pt idx="0">
                  <c:v>Mobilité</c:v>
                </c:pt>
                <c:pt idx="1">
                  <c:v>Science de la santé</c:v>
                </c:pt>
                <c:pt idx="2">
                  <c:v>Tourisme et loisirs</c:v>
                </c:pt>
                <c:pt idx="3">
                  <c:v>Construction</c:v>
                </c:pt>
                <c:pt idx="4">
                  <c:v>Immobilier</c:v>
                </c:pt>
                <c:pt idx="5">
                  <c:v>Services financiers</c:v>
                </c:pt>
                <c:pt idx="6">
                  <c:v>Technologies</c:v>
                </c:pt>
                <c:pt idx="7">
                  <c:v>Services d'affaires</c:v>
                </c:pt>
                <c:pt idx="8">
                  <c:v>Services d'affaires</c:v>
                </c:pt>
                <c:pt idx="9">
                  <c:v>Produits de consommation</c:v>
                </c:pt>
                <c:pt idx="10">
                  <c:v>Automobile</c:v>
                </c:pt>
                <c:pt idx="11">
                  <c:v>Manufacture de pointe</c:v>
                </c:pt>
                <c:pt idx="12">
                  <c:v>Energie</c:v>
                </c:pt>
                <c:pt idx="13">
                  <c:v>Renouvelables</c:v>
                </c:pt>
                <c:pt idx="14">
                  <c:v>Télécommunications</c:v>
                </c:pt>
              </c:strCache>
            </c:strRef>
          </c:cat>
          <c:val>
            <c:numRef>
              <c:f>Feuil2!$B$79:$B$93</c:f>
              <c:numCache>
                <c:formatCode>General</c:formatCode>
                <c:ptCount val="15"/>
                <c:pt idx="0">
                  <c:v>54.0</c:v>
                </c:pt>
                <c:pt idx="1">
                  <c:v>267.0</c:v>
                </c:pt>
                <c:pt idx="2">
                  <c:v>281.0</c:v>
                </c:pt>
                <c:pt idx="3">
                  <c:v>403.0</c:v>
                </c:pt>
                <c:pt idx="4">
                  <c:v>430.0</c:v>
                </c:pt>
                <c:pt idx="5">
                  <c:v>697.0</c:v>
                </c:pt>
                <c:pt idx="6">
                  <c:v>930.0</c:v>
                </c:pt>
                <c:pt idx="7">
                  <c:v>1541.0</c:v>
                </c:pt>
                <c:pt idx="8">
                  <c:v>1541.0</c:v>
                </c:pt>
                <c:pt idx="9">
                  <c:v>1979.0</c:v>
                </c:pt>
                <c:pt idx="10">
                  <c:v>2291.0</c:v>
                </c:pt>
                <c:pt idx="11">
                  <c:v>2329.0</c:v>
                </c:pt>
                <c:pt idx="12">
                  <c:v>2966.0</c:v>
                </c:pt>
                <c:pt idx="13">
                  <c:v>4678.0</c:v>
                </c:pt>
                <c:pt idx="14">
                  <c:v>8476.0</c:v>
                </c:pt>
              </c:numCache>
            </c:numRef>
          </c:val>
          <c:extLst xmlns:c16r2="http://schemas.microsoft.com/office/drawing/2015/06/chart">
            <c:ext xmlns:c16="http://schemas.microsoft.com/office/drawing/2014/chart" uri="{C3380CC4-5D6E-409C-BE32-E72D297353CC}">
              <c16:uniqueId val="{00000000-B923-4524-A49F-F79B3F45B1C8}"/>
            </c:ext>
          </c:extLst>
        </c:ser>
        <c:dLbls>
          <c:dLblPos val="outEnd"/>
          <c:showLegendKey val="0"/>
          <c:showVal val="1"/>
          <c:showCatName val="0"/>
          <c:showSerName val="0"/>
          <c:showPercent val="0"/>
          <c:showBubbleSize val="0"/>
        </c:dLbls>
        <c:gapWidth val="50"/>
        <c:axId val="-555932624"/>
        <c:axId val="-596057408"/>
      </c:barChart>
      <c:catAx>
        <c:axId val="-55593262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596057408"/>
        <c:crosses val="autoZero"/>
        <c:auto val="1"/>
        <c:lblAlgn val="ctr"/>
        <c:lblOffset val="100"/>
        <c:noMultiLvlLbl val="0"/>
      </c:catAx>
      <c:valAx>
        <c:axId val="-596057408"/>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5559326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lumMod val="65000"/>
        </a:schemeClr>
      </a:solidFill>
      <a:prstDash val="dash"/>
      <a:round/>
    </a:ln>
    <a:effectLst/>
  </c:spPr>
  <c:txPr>
    <a:bodyPr/>
    <a:lstStyle/>
    <a:p>
      <a:pPr>
        <a:defRPr sz="1200">
          <a:latin typeface="Tw Cen MT" panose="020B0602020104020603" pitchFamily="34" charset="0"/>
        </a:defRPr>
      </a:pPr>
      <a:endParaRPr lang="fr-FR"/>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39128063537512"/>
          <c:y val="0.148737357830271"/>
          <c:w val="0.892852370726386"/>
          <c:h val="0.754524584426947"/>
        </c:manualLayout>
      </c:layout>
      <c:doughnut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63AA-C241-8C59-2378833642EA}"/>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63AA-C241-8C59-2378833642EA}"/>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63AA-C241-8C59-2378833642EA}"/>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63AA-C241-8C59-2378833642EA}"/>
              </c:ext>
            </c:extLst>
          </c:dPt>
          <c:dPt>
            <c:idx val="4"/>
            <c:bubble3D val="0"/>
            <c:spPr>
              <a:solidFill>
                <a:schemeClr val="accent5">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63AA-C241-8C59-2378833642EA}"/>
              </c:ext>
            </c:extLst>
          </c:dPt>
          <c:dPt>
            <c:idx val="5"/>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63AA-C241-8C59-2378833642EA}"/>
              </c:ext>
            </c:extLst>
          </c:dPt>
          <c:dLbls>
            <c:dLbl>
              <c:idx val="3"/>
              <c:layout>
                <c:manualLayout>
                  <c:x val="-0.168831168831169"/>
                  <c:y val="-0.151111111111111"/>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7-63AA-C241-8C59-2378833642EA}"/>
                </c:ext>
                <c:ext xmlns:c15="http://schemas.microsoft.com/office/drawing/2012/chart" uri="{CE6537A1-D6FC-4f65-9D91-7224C49458BB}"/>
              </c:extLst>
            </c:dLbl>
            <c:dLbl>
              <c:idx val="4"/>
              <c:layout>
                <c:manualLayout>
                  <c:x val="-0.0519480519480519"/>
                  <c:y val="-0.168888888888889"/>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9-63AA-C241-8C59-2378833642EA}"/>
                </c:ext>
                <c:ext xmlns:c15="http://schemas.microsoft.com/office/drawing/2012/chart" uri="{CE6537A1-D6FC-4f65-9D91-7224C49458BB}"/>
              </c:extLst>
            </c:dLbl>
            <c:dLbl>
              <c:idx val="5"/>
              <c:layout>
                <c:manualLayout>
                  <c:x val="0.0476190476190475"/>
                  <c:y val="-0.191111111111111"/>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B-63AA-C241-8C59-2378833642EA}"/>
                </c:ext>
                <c:ext xmlns:c15="http://schemas.microsoft.com/office/drawing/2012/chart" uri="{CE6537A1-D6FC-4f65-9D91-7224C49458BB}"/>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dk1">
                        <a:lumMod val="65000"/>
                        <a:lumOff val="35000"/>
                      </a:schemeClr>
                    </a:solidFill>
                    <a:latin typeface="+mn-lt"/>
                    <a:ea typeface="+mn-ea"/>
                    <a:cs typeface="+mn-cs"/>
                  </a:defRPr>
                </a:pPr>
                <a:endParaRPr lang="fr-FR"/>
              </a:p>
            </c:txPr>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ext>
            </c:extLst>
          </c:dLbls>
          <c:cat>
            <c:strRef>
              <c:f>Exportations!$A$29:$A$34</c:f>
              <c:strCache>
                <c:ptCount val="6"/>
                <c:pt idx="0">
                  <c:v>Afrique</c:v>
                </c:pt>
                <c:pt idx="1">
                  <c:v>Europe</c:v>
                </c:pt>
                <c:pt idx="2">
                  <c:v>Asie</c:v>
                </c:pt>
                <c:pt idx="3">
                  <c:v>Amérique</c:v>
                </c:pt>
                <c:pt idx="4">
                  <c:v>Océanie</c:v>
                </c:pt>
                <c:pt idx="5">
                  <c:v>Divers</c:v>
                </c:pt>
              </c:strCache>
            </c:strRef>
          </c:cat>
          <c:val>
            <c:numRef>
              <c:f>Exportations!$B$29:$B$34</c:f>
              <c:numCache>
                <c:formatCode>General</c:formatCode>
                <c:ptCount val="6"/>
                <c:pt idx="0">
                  <c:v>39.9</c:v>
                </c:pt>
                <c:pt idx="1">
                  <c:v>28.8</c:v>
                </c:pt>
                <c:pt idx="2">
                  <c:v>20.1</c:v>
                </c:pt>
                <c:pt idx="3">
                  <c:v>4.0</c:v>
                </c:pt>
                <c:pt idx="4">
                  <c:v>4.2</c:v>
                </c:pt>
                <c:pt idx="5">
                  <c:v>3.0</c:v>
                </c:pt>
              </c:numCache>
            </c:numRef>
          </c:val>
          <c:extLst xmlns:c16r2="http://schemas.microsoft.com/office/drawing/2015/06/chart">
            <c:ext xmlns:c16="http://schemas.microsoft.com/office/drawing/2014/chart" uri="{C3380CC4-5D6E-409C-BE32-E72D297353CC}">
              <c16:uniqueId val="{0000000C-63AA-C241-8C59-2378833642EA}"/>
            </c:ext>
          </c:extLst>
        </c:ser>
        <c:dLbls>
          <c:showLegendKey val="0"/>
          <c:showVal val="0"/>
          <c:showCatName val="0"/>
          <c:showSerName val="0"/>
          <c:showPercent val="0"/>
          <c:showBubbleSize val="0"/>
          <c:showLeaderLines val="0"/>
        </c:dLbls>
        <c:firstSliceAng val="0"/>
        <c:holeSize val="50"/>
      </c:doughnut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2700" cap="flat" cmpd="sng" algn="ctr">
      <a:noFill/>
      <a:round/>
    </a:ln>
    <a:effectLst/>
  </c:spPr>
  <c:txPr>
    <a:bodyPr/>
    <a:lstStyle/>
    <a:p>
      <a:pPr>
        <a:defRPr sz="700"/>
      </a:pPr>
      <a:endParaRPr lang="fr-FR"/>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43308109213621"/>
          <c:y val="0.149441469816273"/>
          <c:w val="0.909127040938064"/>
          <c:h val="0.743015223097113"/>
        </c:manualLayout>
      </c:layout>
      <c:doughnut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D2BF-204D-B17A-A74D7C334988}"/>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D2BF-204D-B17A-A74D7C334988}"/>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D2BF-204D-B17A-A74D7C334988}"/>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2BF-204D-B17A-A74D7C334988}"/>
              </c:ext>
            </c:extLst>
          </c:dPt>
          <c:dPt>
            <c:idx val="4"/>
            <c:bubble3D val="0"/>
            <c:spPr>
              <a:solidFill>
                <a:schemeClr val="accent5">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2BF-204D-B17A-A74D7C334988}"/>
              </c:ext>
            </c:extLst>
          </c:dPt>
          <c:dPt>
            <c:idx val="5"/>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2BF-204D-B17A-A74D7C334988}"/>
              </c:ext>
            </c:extLst>
          </c:dPt>
          <c:dLbls>
            <c:dLbl>
              <c:idx val="0"/>
              <c:layout>
                <c:manualLayout>
                  <c:x val="0.0427154809423609"/>
                  <c:y val="0.00337980611090235"/>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1-D2BF-204D-B17A-A74D7C334988}"/>
                </c:ext>
                <c:ext xmlns:c15="http://schemas.microsoft.com/office/drawing/2012/chart" uri="{CE6537A1-D6FC-4f65-9D91-7224C49458BB}"/>
              </c:extLst>
            </c:dLbl>
            <c:dLbl>
              <c:idx val="1"/>
              <c:layout>
                <c:manualLayout>
                  <c:x val="-0.0833968913636569"/>
                  <c:y val="-0.0304182549981211"/>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D2BF-204D-B17A-A74D7C334988}"/>
                </c:ext>
                <c:ext xmlns:c15="http://schemas.microsoft.com/office/drawing/2012/chart" uri="{CE6537A1-D6FC-4f65-9D91-7224C49458BB}"/>
              </c:extLst>
            </c:dLbl>
            <c:dLbl>
              <c:idx val="2"/>
              <c:layout>
                <c:manualLayout>
                  <c:x val="-0.0861111111111111"/>
                  <c:y val="0.0277777777777778"/>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5-D2BF-204D-B17A-A74D7C334988}"/>
                </c:ext>
                <c:ext xmlns:c15="http://schemas.microsoft.com/office/drawing/2012/chart" uri="{CE6537A1-D6FC-4f65-9D91-7224C49458BB}"/>
              </c:extLst>
            </c:dLbl>
            <c:dLbl>
              <c:idx val="3"/>
              <c:layout>
                <c:manualLayout>
                  <c:x val="-0.0563854518185227"/>
                  <c:y val="-0.0320370953630797"/>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7-D2BF-204D-B17A-A74D7C334988}"/>
                </c:ext>
                <c:ext xmlns:c15="http://schemas.microsoft.com/office/drawing/2012/chart" uri="{CE6537A1-D6FC-4f65-9D91-7224C49458BB}"/>
              </c:extLst>
            </c:dLbl>
            <c:dLbl>
              <c:idx val="4"/>
              <c:layout>
                <c:manualLayout>
                  <c:x val="-0.0422439240549477"/>
                  <c:y val="-0.152963079615048"/>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9-D2BF-204D-B17A-A74D7C334988}"/>
                </c:ext>
                <c:ext xmlns:c15="http://schemas.microsoft.com/office/drawing/2012/chart" uri="{CE6537A1-D6FC-4f65-9D91-7224C49458BB}"/>
              </c:extLst>
            </c:dLbl>
            <c:dLbl>
              <c:idx val="5"/>
              <c:layout>
                <c:manualLayout>
                  <c:x val="0.117640863073934"/>
                  <c:y val="-0.111851968503937"/>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B-D2BF-204D-B17A-A74D7C334988}"/>
                </c:ext>
                <c:ext xmlns:c15="http://schemas.microsoft.com/office/drawing/2012/chart" uri="{CE6537A1-D6FC-4f65-9D91-7224C49458BB}"/>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600" b="0" i="0" u="none" strike="noStrike" kern="1200" baseline="0">
                    <a:solidFill>
                      <a:schemeClr val="dk1">
                        <a:lumMod val="65000"/>
                        <a:lumOff val="35000"/>
                      </a:schemeClr>
                    </a:solidFill>
                    <a:latin typeface="+mn-lt"/>
                    <a:ea typeface="+mn-ea"/>
                    <a:cs typeface="+mn-cs"/>
                  </a:defRPr>
                </a:pPr>
                <a:endParaRPr lang="fr-FR"/>
              </a:p>
            </c:txPr>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ext>
            </c:extLst>
          </c:dLbls>
          <c:cat>
            <c:strRef>
              <c:f>Exportations!$A$38:$A$43</c:f>
              <c:strCache>
                <c:ptCount val="6"/>
                <c:pt idx="0">
                  <c:v>Europe</c:v>
                </c:pt>
                <c:pt idx="1">
                  <c:v>Asie</c:v>
                </c:pt>
                <c:pt idx="2">
                  <c:v>Afrique</c:v>
                </c:pt>
                <c:pt idx="3">
                  <c:v>Amérique</c:v>
                </c:pt>
                <c:pt idx="4">
                  <c:v>Océanie</c:v>
                </c:pt>
                <c:pt idx="5">
                  <c:v>Divers </c:v>
                </c:pt>
              </c:strCache>
            </c:strRef>
          </c:cat>
          <c:val>
            <c:numRef>
              <c:f>Exportations!$B$38:$B$43</c:f>
              <c:numCache>
                <c:formatCode>General</c:formatCode>
                <c:ptCount val="6"/>
                <c:pt idx="0">
                  <c:v>49.1</c:v>
                </c:pt>
                <c:pt idx="1">
                  <c:v>29.4</c:v>
                </c:pt>
                <c:pt idx="2">
                  <c:v>13.4</c:v>
                </c:pt>
                <c:pt idx="3">
                  <c:v>7.4</c:v>
                </c:pt>
                <c:pt idx="4">
                  <c:v>0.3</c:v>
                </c:pt>
                <c:pt idx="5">
                  <c:v>0.4</c:v>
                </c:pt>
              </c:numCache>
            </c:numRef>
          </c:val>
          <c:extLst xmlns:c16r2="http://schemas.microsoft.com/office/drawing/2015/06/chart">
            <c:ext xmlns:c16="http://schemas.microsoft.com/office/drawing/2014/chart" uri="{C3380CC4-5D6E-409C-BE32-E72D297353CC}">
              <c16:uniqueId val="{0000000C-D2BF-204D-B17A-A74D7C334988}"/>
            </c:ext>
          </c:extLst>
        </c:ser>
        <c:dLbls>
          <c:showLegendKey val="0"/>
          <c:showVal val="0"/>
          <c:showCatName val="0"/>
          <c:showSerName val="0"/>
          <c:showPercent val="0"/>
          <c:showBubbleSize val="0"/>
          <c:showLeaderLines val="0"/>
        </c:dLbls>
        <c:firstSliceAng val="0"/>
        <c:holeSize val="50"/>
      </c:doughnut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600"/>
      </a:pPr>
      <a:endParaRPr lang="fr-FR"/>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'ACR- Sénégal'!$B$1</c:f>
              <c:strCache>
                <c:ptCount val="1"/>
                <c:pt idx="0">
                  <c:v>ACR</c:v>
                </c:pt>
              </c:strCache>
            </c:strRef>
          </c:tx>
          <c:spPr>
            <a:solidFill>
              <a:schemeClr val="tx2"/>
            </a:solidFill>
            <a:ln>
              <a:noFill/>
            </a:ln>
            <a:effectLst/>
          </c:spPr>
          <c:invertIfNegative val="0"/>
          <c:dLbls>
            <c:numFmt formatCode="#,##0.00" sourceLinked="0"/>
            <c:spPr>
              <a:noFill/>
              <a:ln>
                <a:noFill/>
              </a:ln>
              <a:effectLst/>
            </c:spPr>
            <c:txPr>
              <a:bodyPr rot="0" spcFirstLastPara="1" vertOverflow="ellipsis" vert="horz" wrap="square" lIns="38100" tIns="19050" rIns="38100" bIns="19050" anchor="ctr" anchorCtr="1">
                <a:spAutoFit/>
              </a:bodyPr>
              <a:lstStyle/>
              <a:p>
                <a:pPr>
                  <a:defRPr sz="1100" b="0" i="0" u="none" strike="noStrike" baseline="0">
                    <a:solidFill>
                      <a:schemeClr val="bg1"/>
                    </a:solidFill>
                    <a:latin typeface="Tw Cen MT" panose="020B0602020104020603" pitchFamily="34" charset="0"/>
                    <a:ea typeface="+mn-ea"/>
                    <a:cs typeface="+mn-cs"/>
                  </a:defRPr>
                </a:pPr>
                <a:endParaRPr lang="fr-FR"/>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'ACR- Sénégal'!$A$2:$A$16</c:f>
              <c:strCache>
                <c:ptCount val="15"/>
                <c:pt idx="0">
                  <c:v>[272] Engrais bruts (sauf ceux de la division 56)</c:v>
                </c:pt>
                <c:pt idx="1">
                  <c:v>[661] Chaux, matériaux de construction fabriqués (sauf argile, verre)</c:v>
                </c:pt>
                <c:pt idx="2">
                  <c:v>[287] Minerais de métaux communs et concentrés, n.d.a.</c:v>
                </c:pt>
                <c:pt idx="3">
                  <c:v>[522] Produits chimiques inorganiques : éléments, oxydes, sels</c:v>
                </c:pt>
                <c:pt idx="4">
                  <c:v>[036] Crustacés, mollusques et invertébrés aquatiques</c:v>
                </c:pt>
                <c:pt idx="5">
                  <c:v>[034] Poissons frais, vivants ou morts, réfrigérés ou congelés</c:v>
                </c:pt>
                <c:pt idx="6">
                  <c:v>[222] Graines et fruits oléagineux (sauf farines)</c:v>
                </c:pt>
                <c:pt idx="7">
                  <c:v>[046] Semoules</c:v>
                </c:pt>
                <c:pt idx="8">
                  <c:v>[971] Or, à usage non monétaire</c:v>
                </c:pt>
                <c:pt idx="9">
                  <c:v>[042] Riz</c:v>
                </c:pt>
                <c:pt idx="10">
                  <c:v>[278] Autre minéraux bruts</c:v>
                </c:pt>
                <c:pt idx="11">
                  <c:v>[122] Tabacs fabriqués (dont succédanés de tabac)</c:v>
                </c:pt>
                <c:pt idx="12">
                  <c:v>[098] Produits et préparations alimentaires</c:v>
                </c:pt>
                <c:pt idx="13">
                  <c:v>[685] Plomb</c:v>
                </c:pt>
                <c:pt idx="14">
                  <c:v>[334] Huiles de pétrole ou minéraux bitumineux &gt; 70%</c:v>
                </c:pt>
              </c:strCache>
            </c:strRef>
          </c:cat>
          <c:val>
            <c:numRef>
              <c:f>'ACR- Sénégal'!$B$2:$B$16</c:f>
              <c:numCache>
                <c:formatCode>General</c:formatCode>
                <c:ptCount val="15"/>
                <c:pt idx="0">
                  <c:v>39.3635150679</c:v>
                </c:pt>
                <c:pt idx="1">
                  <c:v>28.1452577961</c:v>
                </c:pt>
                <c:pt idx="2">
                  <c:v>23.92233799449998</c:v>
                </c:pt>
                <c:pt idx="3">
                  <c:v>23.60693461350001</c:v>
                </c:pt>
                <c:pt idx="4">
                  <c:v>18.7577010189</c:v>
                </c:pt>
                <c:pt idx="5">
                  <c:v>18.5949534618</c:v>
                </c:pt>
                <c:pt idx="6">
                  <c:v>11.9401200502</c:v>
                </c:pt>
                <c:pt idx="7">
                  <c:v>11.7029707053</c:v>
                </c:pt>
                <c:pt idx="8">
                  <c:v>8.630868526899998</c:v>
                </c:pt>
                <c:pt idx="9">
                  <c:v>8.281109746499998</c:v>
                </c:pt>
                <c:pt idx="10">
                  <c:v>7.874886281399993</c:v>
                </c:pt>
                <c:pt idx="11">
                  <c:v>7.055297356699993</c:v>
                </c:pt>
                <c:pt idx="12">
                  <c:v>6.2041989153</c:v>
                </c:pt>
                <c:pt idx="13">
                  <c:v>5.9568171559</c:v>
                </c:pt>
                <c:pt idx="14">
                  <c:v>5.915530748499991</c:v>
                </c:pt>
              </c:numCache>
            </c:numRef>
          </c:val>
          <c:extLst xmlns:c16r2="http://schemas.microsoft.com/office/drawing/2015/06/chart">
            <c:ext xmlns:c16="http://schemas.microsoft.com/office/drawing/2014/chart" uri="{C3380CC4-5D6E-409C-BE32-E72D297353CC}">
              <c16:uniqueId val="{00000000-67B7-7643-9B7D-1B0F9AAF7114}"/>
            </c:ext>
          </c:extLst>
        </c:ser>
        <c:dLbls>
          <c:showLegendKey val="0"/>
          <c:showVal val="1"/>
          <c:showCatName val="0"/>
          <c:showSerName val="0"/>
          <c:showPercent val="0"/>
          <c:showBubbleSize val="0"/>
        </c:dLbls>
        <c:gapWidth val="6"/>
        <c:axId val="-558324144"/>
        <c:axId val="-557881184"/>
      </c:barChart>
      <c:catAx>
        <c:axId val="-5583241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baseline="0">
                <a:solidFill>
                  <a:schemeClr val="tx1">
                    <a:lumMod val="65000"/>
                    <a:lumOff val="35000"/>
                  </a:schemeClr>
                </a:solidFill>
                <a:latin typeface="Tw Cen MT" panose="020B0602020104020603" pitchFamily="34" charset="0"/>
                <a:ea typeface="+mn-ea"/>
                <a:cs typeface="+mn-cs"/>
              </a:defRPr>
            </a:pPr>
            <a:endParaRPr lang="fr-FR"/>
          </a:p>
        </c:txPr>
        <c:crossAx val="-557881184"/>
        <c:crosses val="autoZero"/>
        <c:auto val="1"/>
        <c:lblAlgn val="ctr"/>
        <c:lblOffset val="100"/>
        <c:noMultiLvlLbl val="0"/>
      </c:catAx>
      <c:valAx>
        <c:axId val="-557881184"/>
        <c:scaling>
          <c:orientation val="minMax"/>
        </c:scaling>
        <c:delete val="1"/>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558324144"/>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bg1">
          <a:lumMod val="75000"/>
        </a:schemeClr>
      </a:solidFill>
      <a:prstDash val="dash"/>
      <a:round/>
    </a:ln>
    <a:effectLst/>
  </c:spPr>
  <c:txPr>
    <a:bodyPr/>
    <a:lstStyle/>
    <a:p>
      <a:pPr>
        <a:defRPr sz="1100">
          <a:latin typeface="Tw Cen MT" panose="020B0602020104020603" pitchFamily="34" charset="0"/>
        </a:defRPr>
      </a:pPr>
      <a:endParaRPr lang="fr-FR"/>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GQII!$B$1</c:f>
              <c:strCache>
                <c:ptCount val="1"/>
                <c:pt idx="0">
                  <c:v>GCI score en 2021</c:v>
                </c:pt>
              </c:strCache>
            </c:strRef>
          </c:tx>
          <c:spPr>
            <a:solidFill>
              <a:schemeClr val="accent1"/>
            </a:solidFill>
            <a:ln>
              <a:noFill/>
            </a:ln>
            <a:effectLst/>
          </c:spPr>
          <c:invertIfNegative val="0"/>
          <c:dPt>
            <c:idx val="21"/>
            <c:invertIfNegative val="0"/>
            <c:bubble3D val="0"/>
            <c:spPr>
              <a:solidFill>
                <a:schemeClr val="accent6"/>
              </a:solidFill>
              <a:ln>
                <a:noFill/>
              </a:ln>
              <a:effectLst/>
            </c:spPr>
            <c:extLst xmlns:c16r2="http://schemas.microsoft.com/office/drawing/2015/06/chart">
              <c:ext xmlns:c16="http://schemas.microsoft.com/office/drawing/2014/chart" uri="{C3380CC4-5D6E-409C-BE32-E72D297353CC}">
                <c16:uniqueId val="{00000001-5462-4D7F-BAE5-EB462886BBA0}"/>
              </c:ext>
            </c:extLst>
          </c:dPt>
          <c:dPt>
            <c:idx val="47"/>
            <c:invertIfNegative val="0"/>
            <c:bubble3D val="0"/>
            <c:spPr>
              <a:solidFill>
                <a:srgbClr val="FF0000"/>
              </a:solidFill>
              <a:ln>
                <a:noFill/>
              </a:ln>
              <a:effectLst/>
            </c:spPr>
            <c:extLst xmlns:c16r2="http://schemas.microsoft.com/office/drawing/2015/06/chart">
              <c:ext xmlns:c16="http://schemas.microsoft.com/office/drawing/2014/chart" uri="{C3380CC4-5D6E-409C-BE32-E72D297353CC}">
                <c16:uniqueId val="{00000002-1699-154B-AEE8-CB9768E69414}"/>
              </c:ext>
            </c:extLst>
          </c:dPt>
          <c:dLbls>
            <c:dLbl>
              <c:idx val="21"/>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5462-4D7F-BAE5-EB462886BBA0}"/>
                </c:ext>
                <c:ext xmlns:c15="http://schemas.microsoft.com/office/drawing/2012/chart" uri="{CE6537A1-D6FC-4f65-9D91-7224C49458BB}"/>
              </c:extLst>
            </c:dLbl>
            <c:dLbl>
              <c:idx val="47"/>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1699-154B-AEE8-CB9768E69414}"/>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Tw Cen MT" panose="020B0602020104020603" pitchFamily="34" charset="0"/>
                    <a:ea typeface="+mn-ea"/>
                    <a:cs typeface="+mn-cs"/>
                  </a:defRPr>
                </a:pPr>
                <a:endParaRPr lang="fr-FR"/>
              </a:p>
            </c:txPr>
            <c:showLegendKey val="0"/>
            <c:showVal val="0"/>
            <c:showCatName val="0"/>
            <c:showSerName val="0"/>
            <c:showPercent val="0"/>
            <c:showBubbleSize val="0"/>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GQII!$A$3:$A$50</c:f>
              <c:strCache>
                <c:ptCount val="48"/>
                <c:pt idx="0">
                  <c:v>South Africa</c:v>
                </c:pt>
                <c:pt idx="1">
                  <c:v>Egypt</c:v>
                </c:pt>
                <c:pt idx="2">
                  <c:v>Kenya</c:v>
                </c:pt>
                <c:pt idx="3">
                  <c:v>Tunisia</c:v>
                </c:pt>
                <c:pt idx="4">
                  <c:v>Morocco</c:v>
                </c:pt>
                <c:pt idx="5">
                  <c:v>Algeria</c:v>
                </c:pt>
                <c:pt idx="6">
                  <c:v>Mauritius</c:v>
                </c:pt>
                <c:pt idx="7">
                  <c:v>Nigeria</c:v>
                </c:pt>
                <c:pt idx="8">
                  <c:v>Ethiopia</c:v>
                </c:pt>
                <c:pt idx="9">
                  <c:v>Tanzania</c:v>
                </c:pt>
                <c:pt idx="10">
                  <c:v>Namibia</c:v>
                </c:pt>
                <c:pt idx="11">
                  <c:v>Botswana</c:v>
                </c:pt>
                <c:pt idx="12">
                  <c:v>Ghana</c:v>
                </c:pt>
                <c:pt idx="13">
                  <c:v>Côte d’Ivoire</c:v>
                </c:pt>
                <c:pt idx="14">
                  <c:v>Dem Rep of Congo</c:v>
                </c:pt>
                <c:pt idx="15">
                  <c:v>Malawi</c:v>
                </c:pt>
                <c:pt idx="16">
                  <c:v>Mozambique</c:v>
                </c:pt>
                <c:pt idx="17">
                  <c:v>Zimbabwe</c:v>
                </c:pt>
                <c:pt idx="18">
                  <c:v>Angola</c:v>
                </c:pt>
                <c:pt idx="19">
                  <c:v>Madagascar</c:v>
                </c:pt>
                <c:pt idx="20">
                  <c:v>Zambia</c:v>
                </c:pt>
                <c:pt idx="21">
                  <c:v>Senegal</c:v>
                </c:pt>
                <c:pt idx="22">
                  <c:v>Mali</c:v>
                </c:pt>
                <c:pt idx="23">
                  <c:v>Benin</c:v>
                </c:pt>
                <c:pt idx="24">
                  <c:v>Eswatini</c:v>
                </c:pt>
                <c:pt idx="25">
                  <c:v>Burkina Faso</c:v>
                </c:pt>
                <c:pt idx="26">
                  <c:v>Cameroon</c:v>
                </c:pt>
                <c:pt idx="27">
                  <c:v>Rwanda</c:v>
                </c:pt>
                <c:pt idx="28">
                  <c:v>Gabon</c:v>
                </c:pt>
                <c:pt idx="29">
                  <c:v>Togo</c:v>
                </c:pt>
                <c:pt idx="30">
                  <c:v>Niger</c:v>
                </c:pt>
                <c:pt idx="31">
                  <c:v>Mauritania</c:v>
                </c:pt>
                <c:pt idx="32">
                  <c:v>Guinea-Bissau</c:v>
                </c:pt>
                <c:pt idx="33">
                  <c:v>Chad</c:v>
                </c:pt>
                <c:pt idx="34">
                  <c:v>Gambia</c:v>
                </c:pt>
                <c:pt idx="35">
                  <c:v>Cabo Verde</c:v>
                </c:pt>
                <c:pt idx="36">
                  <c:v>Burundi</c:v>
                </c:pt>
                <c:pt idx="37">
                  <c:v>Somalia</c:v>
                </c:pt>
                <c:pt idx="38">
                  <c:v>Sierra Leone</c:v>
                </c:pt>
                <c:pt idx="39">
                  <c:v>Congo</c:v>
                </c:pt>
                <c:pt idx="40">
                  <c:v>Guinea</c:v>
                </c:pt>
                <c:pt idx="41">
                  <c:v>Liberia</c:v>
                </c:pt>
                <c:pt idx="42">
                  <c:v>Djibouti</c:v>
                </c:pt>
                <c:pt idx="43">
                  <c:v>Central African Rep</c:v>
                </c:pt>
                <c:pt idx="44">
                  <c:v>South Sudan</c:v>
                </c:pt>
                <c:pt idx="45">
                  <c:v>Libya</c:v>
                </c:pt>
                <c:pt idx="46">
                  <c:v>Equatorial Guinea</c:v>
                </c:pt>
                <c:pt idx="47">
                  <c:v>Afrique</c:v>
                </c:pt>
              </c:strCache>
            </c:strRef>
          </c:cat>
          <c:val>
            <c:numRef>
              <c:f>GQII!$B$3:$B$50</c:f>
              <c:numCache>
                <c:formatCode>0.00</c:formatCode>
                <c:ptCount val="48"/>
                <c:pt idx="0">
                  <c:v>0.908377189377501</c:v>
                </c:pt>
                <c:pt idx="1">
                  <c:v>0.822988642935128</c:v>
                </c:pt>
                <c:pt idx="2">
                  <c:v>0.698156912025391</c:v>
                </c:pt>
                <c:pt idx="3">
                  <c:v>0.630172748300194</c:v>
                </c:pt>
                <c:pt idx="4">
                  <c:v>0.571876875309348</c:v>
                </c:pt>
                <c:pt idx="5">
                  <c:v>0.539842788106694</c:v>
                </c:pt>
                <c:pt idx="6">
                  <c:v>0.539668108210944</c:v>
                </c:pt>
                <c:pt idx="7">
                  <c:v>0.5327342970087</c:v>
                </c:pt>
                <c:pt idx="8">
                  <c:v>0.523440816253439</c:v>
                </c:pt>
                <c:pt idx="9">
                  <c:v>0.512527914263605</c:v>
                </c:pt>
                <c:pt idx="10">
                  <c:v>0.493870198073149</c:v>
                </c:pt>
                <c:pt idx="11">
                  <c:v>0.483026107972256</c:v>
                </c:pt>
                <c:pt idx="12">
                  <c:v>0.464563579462031</c:v>
                </c:pt>
                <c:pt idx="13">
                  <c:v>0.457252162829792</c:v>
                </c:pt>
                <c:pt idx="14">
                  <c:v>0.448587257628082</c:v>
                </c:pt>
                <c:pt idx="15">
                  <c:v>0.448042028670452</c:v>
                </c:pt>
                <c:pt idx="16">
                  <c:v>0.421661380321498</c:v>
                </c:pt>
                <c:pt idx="17">
                  <c:v>0.416298592200001</c:v>
                </c:pt>
                <c:pt idx="18">
                  <c:v>0.398398406569552</c:v>
                </c:pt>
                <c:pt idx="19">
                  <c:v>0.394228593116204</c:v>
                </c:pt>
                <c:pt idx="20">
                  <c:v>0.387269789680945</c:v>
                </c:pt>
                <c:pt idx="21">
                  <c:v>0.385476034584432</c:v>
                </c:pt>
                <c:pt idx="22">
                  <c:v>0.367076323318164</c:v>
                </c:pt>
                <c:pt idx="23">
                  <c:v>0.363837444961378</c:v>
                </c:pt>
                <c:pt idx="24">
                  <c:v>0.357241347047322</c:v>
                </c:pt>
                <c:pt idx="25">
                  <c:v>0.344680835168064</c:v>
                </c:pt>
                <c:pt idx="26">
                  <c:v>0.34421671308428</c:v>
                </c:pt>
                <c:pt idx="27">
                  <c:v>0.343998364620682</c:v>
                </c:pt>
                <c:pt idx="28">
                  <c:v>0.330128099571335</c:v>
                </c:pt>
                <c:pt idx="29">
                  <c:v>0.328656454447538</c:v>
                </c:pt>
                <c:pt idx="30">
                  <c:v>0.300360420169398</c:v>
                </c:pt>
                <c:pt idx="31">
                  <c:v>0.295691795230744</c:v>
                </c:pt>
                <c:pt idx="32">
                  <c:v>0.282579180143098</c:v>
                </c:pt>
                <c:pt idx="33">
                  <c:v>0.28115814670077</c:v>
                </c:pt>
                <c:pt idx="34">
                  <c:v>0.265785130460782</c:v>
                </c:pt>
                <c:pt idx="35">
                  <c:v>0.265446079467738</c:v>
                </c:pt>
                <c:pt idx="36">
                  <c:v>0.247235316373378</c:v>
                </c:pt>
                <c:pt idx="37">
                  <c:v>0.215233618538117</c:v>
                </c:pt>
                <c:pt idx="38">
                  <c:v>0.205842697391008</c:v>
                </c:pt>
                <c:pt idx="39">
                  <c:v>0.189662465363969</c:v>
                </c:pt>
                <c:pt idx="40">
                  <c:v>0.188726135775954</c:v>
                </c:pt>
                <c:pt idx="41">
                  <c:v>0.187321641393931</c:v>
                </c:pt>
                <c:pt idx="42">
                  <c:v>0.184980817423894</c:v>
                </c:pt>
                <c:pt idx="43">
                  <c:v>0.181703663865842</c:v>
                </c:pt>
                <c:pt idx="44">
                  <c:v>0.161172924850586</c:v>
                </c:pt>
                <c:pt idx="45">
                  <c:v>0.15458477449636</c:v>
                </c:pt>
                <c:pt idx="46">
                  <c:v>0.137730841912091</c:v>
                </c:pt>
                <c:pt idx="47">
                  <c:v>0.383053439461187</c:v>
                </c:pt>
              </c:numCache>
            </c:numRef>
          </c:val>
          <c:extLst xmlns:c16r2="http://schemas.microsoft.com/office/drawing/2015/06/chart">
            <c:ext xmlns:c16="http://schemas.microsoft.com/office/drawing/2014/chart" uri="{C3380CC4-5D6E-409C-BE32-E72D297353CC}">
              <c16:uniqueId val="{00000002-5462-4D7F-BAE5-EB462886BBA0}"/>
            </c:ext>
          </c:extLst>
        </c:ser>
        <c:dLbls>
          <c:showLegendKey val="0"/>
          <c:showVal val="0"/>
          <c:showCatName val="0"/>
          <c:showSerName val="0"/>
          <c:showPercent val="0"/>
          <c:showBubbleSize val="0"/>
        </c:dLbls>
        <c:gapWidth val="199"/>
        <c:axId val="-557918512"/>
        <c:axId val="-557916192"/>
      </c:barChart>
      <c:catAx>
        <c:axId val="-5579185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1100" b="0" i="0" u="none" strike="noStrike" kern="1200" cap="none" spc="0" normalizeH="0" baseline="0">
                <a:solidFill>
                  <a:schemeClr val="tx1">
                    <a:lumMod val="65000"/>
                    <a:lumOff val="35000"/>
                  </a:schemeClr>
                </a:solidFill>
                <a:latin typeface="Tw Cen MT" panose="020B0602020104020603" pitchFamily="34" charset="0"/>
                <a:ea typeface="+mn-ea"/>
                <a:cs typeface="+mn-cs"/>
              </a:defRPr>
            </a:pPr>
            <a:endParaRPr lang="fr-FR"/>
          </a:p>
        </c:txPr>
        <c:crossAx val="-557916192"/>
        <c:crosses val="autoZero"/>
        <c:auto val="1"/>
        <c:lblAlgn val="ctr"/>
        <c:lblOffset val="100"/>
        <c:noMultiLvlLbl val="0"/>
      </c:catAx>
      <c:valAx>
        <c:axId val="-557916192"/>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5579185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lumMod val="75000"/>
        </a:schemeClr>
      </a:solidFill>
      <a:prstDash val="dash"/>
      <a:round/>
    </a:ln>
    <a:effectLst/>
  </c:spPr>
  <c:txPr>
    <a:bodyPr/>
    <a:lstStyle/>
    <a:p>
      <a:pPr>
        <a:defRPr sz="1100">
          <a:latin typeface="Tw Cen MT" panose="020B0602020104020603" pitchFamily="34" charset="0"/>
        </a:defRPr>
      </a:pPr>
      <a:endParaRPr lang="fr-FR"/>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2">
                <a:lumMod val="40000"/>
                <a:lumOff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Tw Cen MT" panose="020B0602020104020603" pitchFamily="34" charset="0"/>
                    <a:ea typeface="+mn-ea"/>
                    <a:cs typeface="+mn-cs"/>
                  </a:defRPr>
                </a:pPr>
                <a:endParaRPr lang="fr-FR"/>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Infrasructures!$C$14:$F$14</c:f>
              <c:strCache>
                <c:ptCount val="4"/>
                <c:pt idx="0">
                  <c:v>Réseau de transport routier</c:v>
                </c:pt>
                <c:pt idx="1">
                  <c:v>Infrastructures ferroviaires</c:v>
                </c:pt>
                <c:pt idx="2">
                  <c:v>Infrastructures aériennes</c:v>
                </c:pt>
                <c:pt idx="3">
                  <c:v>Accés à l'énergie</c:v>
                </c:pt>
              </c:strCache>
            </c:strRef>
          </c:cat>
          <c:val>
            <c:numRef>
              <c:f>Infrasructures!$C$15:$F$15</c:f>
              <c:numCache>
                <c:formatCode>General</c:formatCode>
                <c:ptCount val="4"/>
                <c:pt idx="0">
                  <c:v>42.3</c:v>
                </c:pt>
                <c:pt idx="1">
                  <c:v>44.0</c:v>
                </c:pt>
                <c:pt idx="2">
                  <c:v>76.2</c:v>
                </c:pt>
                <c:pt idx="3">
                  <c:v>46.8</c:v>
                </c:pt>
              </c:numCache>
            </c:numRef>
          </c:val>
          <c:extLst xmlns:c16r2="http://schemas.microsoft.com/office/drawing/2015/06/chart">
            <c:ext xmlns:c16="http://schemas.microsoft.com/office/drawing/2014/chart" uri="{C3380CC4-5D6E-409C-BE32-E72D297353CC}">
              <c16:uniqueId val="{00000000-A8E1-4FD7-A9C5-626E6DFCE79E}"/>
            </c:ext>
          </c:extLst>
        </c:ser>
        <c:dLbls>
          <c:showLegendKey val="0"/>
          <c:showVal val="0"/>
          <c:showCatName val="0"/>
          <c:showSerName val="0"/>
          <c:showPercent val="0"/>
          <c:showBubbleSize val="0"/>
        </c:dLbls>
        <c:gapWidth val="50"/>
        <c:axId val="-595882992"/>
        <c:axId val="-595887584"/>
      </c:barChart>
      <c:catAx>
        <c:axId val="-59588299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595887584"/>
        <c:crosses val="autoZero"/>
        <c:auto val="1"/>
        <c:lblAlgn val="ctr"/>
        <c:lblOffset val="100"/>
        <c:noMultiLvlLbl val="0"/>
      </c:catAx>
      <c:valAx>
        <c:axId val="-59588758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5958829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lumMod val="65000"/>
        </a:schemeClr>
      </a:solidFill>
      <a:prstDash val="dash"/>
      <a:round/>
    </a:ln>
    <a:effectLst/>
  </c:spPr>
  <c:txPr>
    <a:bodyPr/>
    <a:lstStyle/>
    <a:p>
      <a:pPr>
        <a:defRPr sz="1200">
          <a:latin typeface="Tw Cen MT" panose="020B0602020104020603" pitchFamily="34" charset="0"/>
        </a:defRPr>
      </a:pPr>
      <a:endParaRPr lang="fr-FR"/>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barChart>
        <c:barDir val="col"/>
        <c:grouping val="clustered"/>
        <c:varyColors val="0"/>
        <c:ser>
          <c:idx val="0"/>
          <c:order val="0"/>
          <c:tx>
            <c:strRef>
              <c:f>Feuil1!$B$35</c:f>
              <c:strCache>
                <c:ptCount val="1"/>
                <c:pt idx="0">
                  <c:v>Score indice</c:v>
                </c:pt>
              </c:strCache>
            </c:strRef>
          </c:tx>
          <c:spPr>
            <a:solidFill>
              <a:schemeClr val="accent3"/>
            </a:solidFill>
            <a:ln>
              <a:noFill/>
            </a:ln>
            <a:effectLst/>
          </c:spPr>
          <c:invertIfNegative val="0"/>
          <c:dPt>
            <c:idx val="0"/>
            <c:invertIfNegative val="0"/>
            <c:bubble3D val="0"/>
            <c:spPr>
              <a:solidFill>
                <a:schemeClr val="accent3"/>
              </a:solidFill>
              <a:ln>
                <a:noFill/>
              </a:ln>
              <a:effectLst/>
            </c:spPr>
            <c:extLst xmlns:c16r2="http://schemas.microsoft.com/office/drawing/2015/06/chart">
              <c:ext xmlns:c16="http://schemas.microsoft.com/office/drawing/2014/chart" uri="{C3380CC4-5D6E-409C-BE32-E72D297353CC}">
                <c16:uniqueId val="{00000000-0123-5C40-BDAB-CEC7FBD3A0D1}"/>
              </c:ext>
            </c:extLst>
          </c:dPt>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Tw Cen MT" panose="020B0602020104020603" pitchFamily="34" charset="0"/>
                    <a:ea typeface="+mn-ea"/>
                    <a:cs typeface="+mn-cs"/>
                  </a:defRPr>
                </a:pPr>
                <a:endParaRPr lang="fr-FR"/>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Feuil1!$A$36:$A$43</c:f>
              <c:strCache>
                <c:ptCount val="8"/>
                <c:pt idx="0">
                  <c:v>Sénégal</c:v>
                </c:pt>
                <c:pt idx="1">
                  <c:v>Afrique du Sud</c:v>
                </c:pt>
                <c:pt idx="2">
                  <c:v>Egypte</c:v>
                </c:pt>
                <c:pt idx="3">
                  <c:v>Tunisie</c:v>
                </c:pt>
                <c:pt idx="4">
                  <c:v>Nigéria</c:v>
                </c:pt>
                <c:pt idx="5">
                  <c:v>Rwanda</c:v>
                </c:pt>
                <c:pt idx="6">
                  <c:v>Maroc</c:v>
                </c:pt>
                <c:pt idx="7">
                  <c:v>Maurice</c:v>
                </c:pt>
              </c:strCache>
            </c:strRef>
          </c:cat>
          <c:val>
            <c:numRef>
              <c:f>Feuil1!$B$36:$B$43</c:f>
              <c:numCache>
                <c:formatCode>General</c:formatCode>
                <c:ptCount val="8"/>
                <c:pt idx="0">
                  <c:v>0.35</c:v>
                </c:pt>
                <c:pt idx="1">
                  <c:v>0.638</c:v>
                </c:pt>
                <c:pt idx="2">
                  <c:v>0.525</c:v>
                </c:pt>
                <c:pt idx="3">
                  <c:v>0.555</c:v>
                </c:pt>
                <c:pt idx="4">
                  <c:v>0.418</c:v>
                </c:pt>
                <c:pt idx="5">
                  <c:v>0.427</c:v>
                </c:pt>
                <c:pt idx="6">
                  <c:v>0.555</c:v>
                </c:pt>
                <c:pt idx="7">
                  <c:v>0.618</c:v>
                </c:pt>
              </c:numCache>
            </c:numRef>
          </c:val>
          <c:extLst xmlns:c16r2="http://schemas.microsoft.com/office/drawing/2015/06/chart">
            <c:ext xmlns:c16="http://schemas.microsoft.com/office/drawing/2014/chart" uri="{C3380CC4-5D6E-409C-BE32-E72D297353CC}">
              <c16:uniqueId val="{00000000-E25D-4F52-B0EC-F8F3388883F0}"/>
            </c:ext>
          </c:extLst>
        </c:ser>
        <c:dLbls>
          <c:showLegendKey val="0"/>
          <c:showVal val="0"/>
          <c:showCatName val="0"/>
          <c:showSerName val="0"/>
          <c:showPercent val="0"/>
          <c:showBubbleSize val="0"/>
        </c:dLbls>
        <c:gapWidth val="50"/>
        <c:overlap val="-100"/>
        <c:axId val="-555865584"/>
        <c:axId val="-555904064"/>
      </c:barChart>
      <c:catAx>
        <c:axId val="-555865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555904064"/>
        <c:crosses val="autoZero"/>
        <c:auto val="1"/>
        <c:lblAlgn val="ctr"/>
        <c:lblOffset val="100"/>
        <c:noMultiLvlLbl val="0"/>
      </c:catAx>
      <c:valAx>
        <c:axId val="-5559040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crossAx val="-5558655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lumMod val="50000"/>
        </a:schemeClr>
      </a:solidFill>
      <a:prstDash val="dash"/>
      <a:round/>
    </a:ln>
    <a:effectLst/>
  </c:spPr>
  <c:txPr>
    <a:bodyPr/>
    <a:lstStyle/>
    <a:p>
      <a:pPr>
        <a:defRPr sz="1100">
          <a:latin typeface="Tw Cen MT" panose="020B0602020104020603" pitchFamily="34" charset="0"/>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withinLinear" id="14">
  <a:schemeClr val="accent1"/>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withinLinearReversed" id="23">
  <a:schemeClr val="accent3"/>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419">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9.xml><?xml version="1.0" encoding="utf-8"?>
<cs:chartStyle xmlns:cs="http://schemas.microsoft.com/office/drawing/2012/chartStyle" xmlns:a="http://schemas.openxmlformats.org/drawingml/2006/main" id="21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0.03603</cdr:x>
      <cdr:y>0.06289</cdr:y>
    </cdr:from>
    <cdr:to>
      <cdr:x>0.4</cdr:x>
      <cdr:y>0.28671</cdr:y>
    </cdr:to>
    <cdr:sp macro="" textlink="">
      <cdr:nvSpPr>
        <cdr:cNvPr id="2" name="Ellipse 1">
          <a:extLst xmlns:a="http://schemas.openxmlformats.org/drawingml/2006/main">
            <a:ext uri="{FF2B5EF4-FFF2-40B4-BE49-F238E27FC236}">
              <a16:creationId xmlns:a16="http://schemas.microsoft.com/office/drawing/2014/main" xmlns="" id="{92A59923-13E5-4BE5-8643-7A0C7D67CFEE}"/>
            </a:ext>
          </a:extLst>
        </cdr:cNvPr>
        <cdr:cNvSpPr/>
      </cdr:nvSpPr>
      <cdr:spPr>
        <a:xfrm xmlns:a="http://schemas.openxmlformats.org/drawingml/2006/main">
          <a:off x="218364" y="169924"/>
          <a:ext cx="2205558" cy="604745"/>
        </a:xfrm>
        <a:prstGeom xmlns:a="http://schemas.openxmlformats.org/drawingml/2006/main" prst="ellipse">
          <a:avLst/>
        </a:prstGeom>
        <a:solidFill xmlns:a="http://schemas.openxmlformats.org/drawingml/2006/main">
          <a:schemeClr val="accent6">
            <a:lumMod val="40000"/>
            <a:lumOff val="60000"/>
          </a:schemeClr>
        </a:solidFill>
        <a:ln xmlns:a="http://schemas.openxmlformats.org/drawingml/2006/main">
          <a:solidFill>
            <a:schemeClr val="tx2">
              <a:lumMod val="40000"/>
              <a:lumOff val="60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algn="ctr"/>
          <a:r>
            <a:rPr lang="fr-FR" sz="1000" b="1">
              <a:solidFill>
                <a:schemeClr val="tx1"/>
              </a:solidFill>
              <a:latin typeface="Tw Cen MT" panose="020B0602020104020603" pitchFamily="34" charset="0"/>
            </a:rPr>
            <a:t>64% de jeunes dans la population active</a:t>
          </a:r>
        </a:p>
      </cdr:txBody>
    </cdr: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EDFA89-850E-9C4E-B050-DC08C4842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51</Pages>
  <Words>17099</Words>
  <Characters>94046</Characters>
  <Application>Microsoft Macintosh Word</Application>
  <DocSecurity>0</DocSecurity>
  <Lines>783</Lines>
  <Paragraphs>221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110924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Office User</cp:lastModifiedBy>
  <cp:revision>3</cp:revision>
  <cp:lastPrinted>2021-10-07T13:07:00Z</cp:lastPrinted>
  <dcterms:created xsi:type="dcterms:W3CDTF">2023-06-05T11:05:00Z</dcterms:created>
  <dcterms:modified xsi:type="dcterms:W3CDTF">2023-09-26T11:54:00Z</dcterms:modified>
</cp:coreProperties>
</file>